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6CA58" w14:textId="77777777" w:rsidR="000822C6" w:rsidRDefault="00874335">
      <w:pPr>
        <w:pStyle w:val="NoteHead"/>
        <w:framePr w:h="3119" w:wrap="notBeside"/>
      </w:pPr>
      <w:r>
        <w:t>Transportministeret</w:t>
      </w:r>
    </w:p>
    <w:p w14:paraId="68ED5840" w14:textId="77777777" w:rsidR="000822C6" w:rsidRDefault="00874335">
      <w:pPr>
        <w:pStyle w:val="CowiTitle"/>
        <w:framePr w:h="3119" w:wrap="notBeside"/>
      </w:pPr>
      <w:r>
        <w:t>Transportøkonomiske Kørselsomkostninger</w:t>
      </w:r>
    </w:p>
    <w:p w14:paraId="745F779F" w14:textId="77777777" w:rsidR="000822C6" w:rsidRDefault="000822C6">
      <w:pPr>
        <w:pStyle w:val="NoteHead"/>
        <w:framePr w:h="3119" w:wrap="notBeside"/>
      </w:pPr>
    </w:p>
    <w:p w14:paraId="0D7D0FF1" w14:textId="77777777" w:rsidR="000822C6" w:rsidRDefault="00874335">
      <w:pPr>
        <w:pStyle w:val="ContentsPage"/>
      </w:pPr>
      <w:r>
        <w:t>Indhold</w:t>
      </w:r>
    </w:p>
    <w:p w14:paraId="501E387F" w14:textId="25D94986" w:rsidR="002E5A80" w:rsidRDefault="007C5BB0">
      <w:pPr>
        <w:pStyle w:val="TOC1"/>
        <w:rPr>
          <w:rFonts w:asciiTheme="minorHAnsi" w:eastAsiaTheme="minorEastAsia" w:hAnsiTheme="minorHAnsi" w:cstheme="minorBidi"/>
          <w:szCs w:val="22"/>
        </w:rPr>
      </w:pPr>
      <w:r>
        <w:rPr>
          <w:sz w:val="24"/>
        </w:rPr>
        <w:fldChar w:fldCharType="begin"/>
      </w:r>
      <w:r>
        <w:instrText xml:space="preserve"> TOC \o "1-2" \h </w:instrText>
      </w:r>
      <w:r>
        <w:rPr>
          <w:sz w:val="24"/>
        </w:rPr>
        <w:fldChar w:fldCharType="separate"/>
      </w:r>
      <w:hyperlink w:anchor="_Toc88834860" w:history="1">
        <w:r w:rsidR="002E5A80" w:rsidRPr="00BD3EB1">
          <w:rPr>
            <w:rStyle w:val="Hyperlink"/>
          </w:rPr>
          <w:t>1</w:t>
        </w:r>
        <w:r w:rsidR="002E5A80">
          <w:rPr>
            <w:rFonts w:asciiTheme="minorHAnsi" w:eastAsiaTheme="minorEastAsia" w:hAnsiTheme="minorHAnsi" w:cstheme="minorBidi"/>
            <w:szCs w:val="22"/>
          </w:rPr>
          <w:tab/>
        </w:r>
        <w:r w:rsidR="002E5A80" w:rsidRPr="00BD3EB1">
          <w:rPr>
            <w:rStyle w:val="Hyperlink"/>
          </w:rPr>
          <w:t>Indledning</w:t>
        </w:r>
        <w:r w:rsidR="002E5A80">
          <w:tab/>
        </w:r>
        <w:r w:rsidR="002E5A80">
          <w:fldChar w:fldCharType="begin"/>
        </w:r>
        <w:r w:rsidR="002E5A80">
          <w:instrText xml:space="preserve"> PAGEREF _Toc88834860 \h </w:instrText>
        </w:r>
        <w:r w:rsidR="002E5A80">
          <w:fldChar w:fldCharType="separate"/>
        </w:r>
        <w:r w:rsidR="002E5A80">
          <w:t>3</w:t>
        </w:r>
        <w:r w:rsidR="002E5A80">
          <w:fldChar w:fldCharType="end"/>
        </w:r>
      </w:hyperlink>
    </w:p>
    <w:p w14:paraId="326A3063" w14:textId="5623B6E1" w:rsidR="002E5A80" w:rsidRDefault="002E5A80">
      <w:pPr>
        <w:pStyle w:val="TOC1"/>
        <w:rPr>
          <w:rFonts w:asciiTheme="minorHAnsi" w:eastAsiaTheme="minorEastAsia" w:hAnsiTheme="minorHAnsi" w:cstheme="minorBidi"/>
          <w:szCs w:val="22"/>
        </w:rPr>
      </w:pPr>
      <w:hyperlink w:anchor="_Toc88834861" w:history="1">
        <w:r w:rsidRPr="00BD3EB1">
          <w:rPr>
            <w:rStyle w:val="Hyperlink"/>
          </w:rPr>
          <w:t>2</w:t>
        </w:r>
        <w:r>
          <w:rPr>
            <w:rFonts w:asciiTheme="minorHAnsi" w:eastAsiaTheme="minorEastAsia" w:hAnsiTheme="minorHAnsi" w:cstheme="minorBidi"/>
            <w:szCs w:val="22"/>
          </w:rPr>
          <w:tab/>
        </w:r>
        <w:r w:rsidRPr="00BD3EB1">
          <w:rPr>
            <w:rStyle w:val="Hyperlink"/>
          </w:rPr>
          <w:t>Struktur og opsætning af beregningsmodel</w:t>
        </w:r>
        <w:r>
          <w:tab/>
        </w:r>
        <w:r>
          <w:fldChar w:fldCharType="begin"/>
        </w:r>
        <w:r>
          <w:instrText xml:space="preserve"> PAGEREF _Toc88834861 \h </w:instrText>
        </w:r>
        <w:r>
          <w:fldChar w:fldCharType="separate"/>
        </w:r>
        <w:r>
          <w:t>3</w:t>
        </w:r>
        <w:r>
          <w:fldChar w:fldCharType="end"/>
        </w:r>
      </w:hyperlink>
    </w:p>
    <w:p w14:paraId="2ECF0E0C" w14:textId="7D816BDA" w:rsidR="002E5A80" w:rsidRDefault="002E5A80">
      <w:pPr>
        <w:pStyle w:val="TOC1"/>
        <w:rPr>
          <w:rFonts w:asciiTheme="minorHAnsi" w:eastAsiaTheme="minorEastAsia" w:hAnsiTheme="minorHAnsi" w:cstheme="minorBidi"/>
          <w:szCs w:val="22"/>
        </w:rPr>
      </w:pPr>
      <w:hyperlink w:anchor="_Toc88834862" w:history="1">
        <w:r w:rsidRPr="00BD3EB1">
          <w:rPr>
            <w:rStyle w:val="Hyperlink"/>
          </w:rPr>
          <w:t>3</w:t>
        </w:r>
        <w:r>
          <w:rPr>
            <w:rFonts w:asciiTheme="minorHAnsi" w:eastAsiaTheme="minorEastAsia" w:hAnsiTheme="minorHAnsi" w:cstheme="minorBidi"/>
            <w:szCs w:val="22"/>
          </w:rPr>
          <w:tab/>
        </w:r>
        <w:r w:rsidRPr="00BD3EB1">
          <w:rPr>
            <w:rStyle w:val="Hyperlink"/>
          </w:rPr>
          <w:t>Generelt</w:t>
        </w:r>
        <w:r>
          <w:tab/>
        </w:r>
        <w:r>
          <w:fldChar w:fldCharType="begin"/>
        </w:r>
        <w:r>
          <w:instrText xml:space="preserve"> PAGEREF _Toc88834862 \h </w:instrText>
        </w:r>
        <w:r>
          <w:fldChar w:fldCharType="separate"/>
        </w:r>
        <w:r>
          <w:t>5</w:t>
        </w:r>
        <w:r>
          <w:fldChar w:fldCharType="end"/>
        </w:r>
      </w:hyperlink>
    </w:p>
    <w:p w14:paraId="585AB228" w14:textId="7FD10597" w:rsidR="002E5A80" w:rsidRDefault="002E5A80">
      <w:pPr>
        <w:pStyle w:val="TOC2"/>
        <w:rPr>
          <w:rFonts w:asciiTheme="minorHAnsi" w:eastAsiaTheme="minorEastAsia" w:hAnsiTheme="minorHAnsi" w:cstheme="minorBidi"/>
          <w:szCs w:val="22"/>
        </w:rPr>
      </w:pPr>
      <w:hyperlink w:anchor="_Toc88834863" w:history="1">
        <w:r w:rsidRPr="00BD3EB1">
          <w:rPr>
            <w:rStyle w:val="Hyperlink"/>
          </w:rPr>
          <w:t>3.1</w:t>
        </w:r>
        <w:r>
          <w:rPr>
            <w:rFonts w:asciiTheme="minorHAnsi" w:eastAsiaTheme="minorEastAsia" w:hAnsiTheme="minorHAnsi" w:cstheme="minorBidi"/>
            <w:szCs w:val="22"/>
          </w:rPr>
          <w:tab/>
        </w:r>
        <w:r w:rsidRPr="00BD3EB1">
          <w:rPr>
            <w:rStyle w:val="Hyperlink"/>
          </w:rPr>
          <w:t>Køretøjskategorier, teknologier og niveauer</w:t>
        </w:r>
        <w:r>
          <w:tab/>
        </w:r>
        <w:r>
          <w:fldChar w:fldCharType="begin"/>
        </w:r>
        <w:r>
          <w:instrText xml:space="preserve"> PAGEREF _Toc88834863 \h </w:instrText>
        </w:r>
        <w:r>
          <w:fldChar w:fldCharType="separate"/>
        </w:r>
        <w:r>
          <w:t>5</w:t>
        </w:r>
        <w:r>
          <w:fldChar w:fldCharType="end"/>
        </w:r>
      </w:hyperlink>
    </w:p>
    <w:p w14:paraId="2A719388" w14:textId="2136EA4C" w:rsidR="002E5A80" w:rsidRDefault="002E5A80">
      <w:pPr>
        <w:pStyle w:val="TOC2"/>
        <w:rPr>
          <w:rFonts w:asciiTheme="minorHAnsi" w:eastAsiaTheme="minorEastAsia" w:hAnsiTheme="minorHAnsi" w:cstheme="minorBidi"/>
          <w:szCs w:val="22"/>
        </w:rPr>
      </w:pPr>
      <w:hyperlink w:anchor="_Toc88834864" w:history="1">
        <w:r w:rsidRPr="00BD3EB1">
          <w:rPr>
            <w:rStyle w:val="Hyperlink"/>
          </w:rPr>
          <w:t>3.2</w:t>
        </w:r>
        <w:r>
          <w:rPr>
            <w:rFonts w:asciiTheme="minorHAnsi" w:eastAsiaTheme="minorEastAsia" w:hAnsiTheme="minorHAnsi" w:cstheme="minorBidi"/>
            <w:szCs w:val="22"/>
          </w:rPr>
          <w:tab/>
        </w:r>
        <w:r w:rsidRPr="00BD3EB1">
          <w:rPr>
            <w:rStyle w:val="Hyperlink"/>
          </w:rPr>
          <w:t>Udvælgelse af konkrete, repræsentative køretøjer</w:t>
        </w:r>
        <w:r>
          <w:tab/>
        </w:r>
        <w:r>
          <w:fldChar w:fldCharType="begin"/>
        </w:r>
        <w:r>
          <w:instrText xml:space="preserve"> PAGEREF _Toc88834864 \h </w:instrText>
        </w:r>
        <w:r>
          <w:fldChar w:fldCharType="separate"/>
        </w:r>
        <w:r>
          <w:t>6</w:t>
        </w:r>
        <w:r>
          <w:fldChar w:fldCharType="end"/>
        </w:r>
      </w:hyperlink>
    </w:p>
    <w:p w14:paraId="62358A91" w14:textId="68269074" w:rsidR="002E5A80" w:rsidRDefault="002E5A80">
      <w:pPr>
        <w:pStyle w:val="TOC2"/>
        <w:rPr>
          <w:rFonts w:asciiTheme="minorHAnsi" w:eastAsiaTheme="minorEastAsia" w:hAnsiTheme="minorHAnsi" w:cstheme="minorBidi"/>
          <w:szCs w:val="22"/>
        </w:rPr>
      </w:pPr>
      <w:hyperlink w:anchor="_Toc88834865" w:history="1">
        <w:r w:rsidRPr="00BD3EB1">
          <w:rPr>
            <w:rStyle w:val="Hyperlink"/>
          </w:rPr>
          <w:t>3.3</w:t>
        </w:r>
        <w:r>
          <w:rPr>
            <w:rFonts w:asciiTheme="minorHAnsi" w:eastAsiaTheme="minorEastAsia" w:hAnsiTheme="minorHAnsi" w:cstheme="minorBidi"/>
            <w:szCs w:val="22"/>
          </w:rPr>
          <w:tab/>
        </w:r>
        <w:r w:rsidRPr="00BD3EB1">
          <w:rPr>
            <w:rStyle w:val="Hyperlink"/>
          </w:rPr>
          <w:t>Sammenvægtning af køretøjsomkostninger til højere niveau</w:t>
        </w:r>
        <w:r>
          <w:tab/>
        </w:r>
        <w:r>
          <w:fldChar w:fldCharType="begin"/>
        </w:r>
        <w:r>
          <w:instrText xml:space="preserve"> PAGEREF _Toc88834865 \h </w:instrText>
        </w:r>
        <w:r>
          <w:fldChar w:fldCharType="separate"/>
        </w:r>
        <w:r>
          <w:t>7</w:t>
        </w:r>
        <w:r>
          <w:fldChar w:fldCharType="end"/>
        </w:r>
      </w:hyperlink>
    </w:p>
    <w:p w14:paraId="3B11C56D" w14:textId="62837B82" w:rsidR="002E5A80" w:rsidRDefault="002E5A80">
      <w:pPr>
        <w:pStyle w:val="TOC1"/>
        <w:rPr>
          <w:rFonts w:asciiTheme="minorHAnsi" w:eastAsiaTheme="minorEastAsia" w:hAnsiTheme="minorHAnsi" w:cstheme="minorBidi"/>
          <w:szCs w:val="22"/>
        </w:rPr>
      </w:pPr>
      <w:hyperlink w:anchor="_Toc88834866" w:history="1">
        <w:r w:rsidRPr="00BD3EB1">
          <w:rPr>
            <w:rStyle w:val="Hyperlink"/>
          </w:rPr>
          <w:t>4</w:t>
        </w:r>
        <w:r>
          <w:rPr>
            <w:rFonts w:asciiTheme="minorHAnsi" w:eastAsiaTheme="minorEastAsia" w:hAnsiTheme="minorHAnsi" w:cstheme="minorBidi"/>
            <w:szCs w:val="22"/>
          </w:rPr>
          <w:tab/>
        </w:r>
        <w:r w:rsidRPr="00BD3EB1">
          <w:rPr>
            <w:rStyle w:val="Hyperlink"/>
          </w:rPr>
          <w:t>Levetider</w:t>
        </w:r>
        <w:r>
          <w:tab/>
        </w:r>
        <w:r>
          <w:fldChar w:fldCharType="begin"/>
        </w:r>
        <w:r>
          <w:instrText xml:space="preserve"> PAGEREF _Toc88834866 \h </w:instrText>
        </w:r>
        <w:r>
          <w:fldChar w:fldCharType="separate"/>
        </w:r>
        <w:r>
          <w:t>8</w:t>
        </w:r>
        <w:r>
          <w:fldChar w:fldCharType="end"/>
        </w:r>
      </w:hyperlink>
    </w:p>
    <w:p w14:paraId="33CFBDE4" w14:textId="1238B564" w:rsidR="002E5A80" w:rsidRDefault="002E5A80">
      <w:pPr>
        <w:pStyle w:val="TOC2"/>
        <w:rPr>
          <w:rFonts w:asciiTheme="minorHAnsi" w:eastAsiaTheme="minorEastAsia" w:hAnsiTheme="minorHAnsi" w:cstheme="minorBidi"/>
          <w:szCs w:val="22"/>
        </w:rPr>
      </w:pPr>
      <w:hyperlink w:anchor="_Toc88834867" w:history="1">
        <w:r w:rsidRPr="00BD3EB1">
          <w:rPr>
            <w:rStyle w:val="Hyperlink"/>
          </w:rPr>
          <w:t>4.1</w:t>
        </w:r>
        <w:r>
          <w:rPr>
            <w:rFonts w:asciiTheme="minorHAnsi" w:eastAsiaTheme="minorEastAsia" w:hAnsiTheme="minorHAnsi" w:cstheme="minorBidi"/>
            <w:szCs w:val="22"/>
          </w:rPr>
          <w:tab/>
        </w:r>
        <w:r w:rsidRPr="00BD3EB1">
          <w:rPr>
            <w:rStyle w:val="Hyperlink"/>
          </w:rPr>
          <w:t>Skrotningsrater</w:t>
        </w:r>
        <w:r>
          <w:tab/>
        </w:r>
        <w:r>
          <w:fldChar w:fldCharType="begin"/>
        </w:r>
        <w:r>
          <w:instrText xml:space="preserve"> PAGEREF _Toc88834867 \h </w:instrText>
        </w:r>
        <w:r>
          <w:fldChar w:fldCharType="separate"/>
        </w:r>
        <w:r>
          <w:t>8</w:t>
        </w:r>
        <w:r>
          <w:fldChar w:fldCharType="end"/>
        </w:r>
      </w:hyperlink>
    </w:p>
    <w:p w14:paraId="43B49EC2" w14:textId="479B5517" w:rsidR="002E5A80" w:rsidRDefault="002E5A80">
      <w:pPr>
        <w:pStyle w:val="TOC2"/>
        <w:rPr>
          <w:rFonts w:asciiTheme="minorHAnsi" w:eastAsiaTheme="minorEastAsia" w:hAnsiTheme="minorHAnsi" w:cstheme="minorBidi"/>
          <w:szCs w:val="22"/>
        </w:rPr>
      </w:pPr>
      <w:hyperlink w:anchor="_Toc88834868" w:history="1">
        <w:r w:rsidRPr="00BD3EB1">
          <w:rPr>
            <w:rStyle w:val="Hyperlink"/>
          </w:rPr>
          <w:t>4.2</w:t>
        </w:r>
        <w:r>
          <w:rPr>
            <w:rFonts w:asciiTheme="minorHAnsi" w:eastAsiaTheme="minorEastAsia" w:hAnsiTheme="minorHAnsi" w:cstheme="minorBidi"/>
            <w:szCs w:val="22"/>
          </w:rPr>
          <w:tab/>
        </w:r>
        <w:r w:rsidRPr="00BD3EB1">
          <w:rPr>
            <w:rStyle w:val="Hyperlink"/>
          </w:rPr>
          <w:t>Alder</w:t>
        </w:r>
        <w:r>
          <w:tab/>
        </w:r>
        <w:r>
          <w:fldChar w:fldCharType="begin"/>
        </w:r>
        <w:r>
          <w:instrText xml:space="preserve"> PAGEREF _Toc88834868 \h </w:instrText>
        </w:r>
        <w:r>
          <w:fldChar w:fldCharType="separate"/>
        </w:r>
        <w:r>
          <w:t>9</w:t>
        </w:r>
        <w:r>
          <w:fldChar w:fldCharType="end"/>
        </w:r>
      </w:hyperlink>
    </w:p>
    <w:p w14:paraId="033B4488" w14:textId="44385BA2" w:rsidR="002E5A80" w:rsidRDefault="002E5A80">
      <w:pPr>
        <w:pStyle w:val="TOC2"/>
        <w:rPr>
          <w:rFonts w:asciiTheme="minorHAnsi" w:eastAsiaTheme="minorEastAsia" w:hAnsiTheme="minorHAnsi" w:cstheme="minorBidi"/>
          <w:szCs w:val="22"/>
        </w:rPr>
      </w:pPr>
      <w:hyperlink w:anchor="_Toc88834869" w:history="1">
        <w:r w:rsidRPr="00BD3EB1">
          <w:rPr>
            <w:rStyle w:val="Hyperlink"/>
          </w:rPr>
          <w:t>4.3</w:t>
        </w:r>
        <w:r>
          <w:rPr>
            <w:rFonts w:asciiTheme="minorHAnsi" w:eastAsiaTheme="minorEastAsia" w:hAnsiTheme="minorHAnsi" w:cstheme="minorBidi"/>
            <w:szCs w:val="22"/>
          </w:rPr>
          <w:tab/>
        </w:r>
        <w:r w:rsidRPr="00BD3EB1">
          <w:rPr>
            <w:rStyle w:val="Hyperlink"/>
          </w:rPr>
          <w:t>Samlet levetidskørsel</w:t>
        </w:r>
        <w:r>
          <w:tab/>
        </w:r>
        <w:r>
          <w:fldChar w:fldCharType="begin"/>
        </w:r>
        <w:r>
          <w:instrText xml:space="preserve"> PAGEREF _Toc88834869 \h </w:instrText>
        </w:r>
        <w:r>
          <w:fldChar w:fldCharType="separate"/>
        </w:r>
        <w:r>
          <w:t>10</w:t>
        </w:r>
        <w:r>
          <w:fldChar w:fldCharType="end"/>
        </w:r>
      </w:hyperlink>
    </w:p>
    <w:p w14:paraId="13C0D6E6" w14:textId="72E589A3" w:rsidR="002E5A80" w:rsidRDefault="002E5A80">
      <w:pPr>
        <w:pStyle w:val="TOC1"/>
        <w:rPr>
          <w:rFonts w:asciiTheme="minorHAnsi" w:eastAsiaTheme="minorEastAsia" w:hAnsiTheme="minorHAnsi" w:cstheme="minorBidi"/>
          <w:szCs w:val="22"/>
        </w:rPr>
      </w:pPr>
      <w:hyperlink w:anchor="_Toc88834870" w:history="1">
        <w:r w:rsidRPr="00BD3EB1">
          <w:rPr>
            <w:rStyle w:val="Hyperlink"/>
          </w:rPr>
          <w:t>5</w:t>
        </w:r>
        <w:r>
          <w:rPr>
            <w:rFonts w:asciiTheme="minorHAnsi" w:eastAsiaTheme="minorEastAsia" w:hAnsiTheme="minorHAnsi" w:cstheme="minorBidi"/>
            <w:szCs w:val="22"/>
          </w:rPr>
          <w:tab/>
        </w:r>
        <w:r w:rsidRPr="00BD3EB1">
          <w:rPr>
            <w:rStyle w:val="Hyperlink"/>
          </w:rPr>
          <w:t>Omkostningskategorier og beregninger</w:t>
        </w:r>
        <w:r>
          <w:tab/>
        </w:r>
        <w:r>
          <w:fldChar w:fldCharType="begin"/>
        </w:r>
        <w:r>
          <w:instrText xml:space="preserve"> PAGEREF _Toc88834870 \h </w:instrText>
        </w:r>
        <w:r>
          <w:fldChar w:fldCharType="separate"/>
        </w:r>
        <w:r>
          <w:t>13</w:t>
        </w:r>
        <w:r>
          <w:fldChar w:fldCharType="end"/>
        </w:r>
      </w:hyperlink>
    </w:p>
    <w:p w14:paraId="6800DF97" w14:textId="1AB232EF" w:rsidR="002E5A80" w:rsidRDefault="002E5A80">
      <w:pPr>
        <w:pStyle w:val="TOC2"/>
        <w:rPr>
          <w:rFonts w:asciiTheme="minorHAnsi" w:eastAsiaTheme="minorEastAsia" w:hAnsiTheme="minorHAnsi" w:cstheme="minorBidi"/>
          <w:szCs w:val="22"/>
        </w:rPr>
      </w:pPr>
      <w:hyperlink w:anchor="_Toc88834871" w:history="1">
        <w:r w:rsidRPr="00BD3EB1">
          <w:rPr>
            <w:rStyle w:val="Hyperlink"/>
          </w:rPr>
          <w:t>5.1</w:t>
        </w:r>
        <w:r>
          <w:rPr>
            <w:rFonts w:asciiTheme="minorHAnsi" w:eastAsiaTheme="minorEastAsia" w:hAnsiTheme="minorHAnsi" w:cstheme="minorBidi"/>
            <w:szCs w:val="22"/>
          </w:rPr>
          <w:tab/>
        </w:r>
        <w:r w:rsidRPr="00BD3EB1">
          <w:rPr>
            <w:rStyle w:val="Hyperlink"/>
          </w:rPr>
          <w:t>Generelt</w:t>
        </w:r>
        <w:r>
          <w:tab/>
        </w:r>
        <w:r>
          <w:fldChar w:fldCharType="begin"/>
        </w:r>
        <w:r>
          <w:instrText xml:space="preserve"> PAGEREF _Toc88834871 \h </w:instrText>
        </w:r>
        <w:r>
          <w:fldChar w:fldCharType="separate"/>
        </w:r>
        <w:r>
          <w:t>13</w:t>
        </w:r>
        <w:r>
          <w:fldChar w:fldCharType="end"/>
        </w:r>
      </w:hyperlink>
    </w:p>
    <w:p w14:paraId="048E90E1" w14:textId="2B4C1A29" w:rsidR="002E5A80" w:rsidRDefault="002E5A80">
      <w:pPr>
        <w:pStyle w:val="TOC2"/>
        <w:rPr>
          <w:rFonts w:asciiTheme="minorHAnsi" w:eastAsiaTheme="minorEastAsia" w:hAnsiTheme="minorHAnsi" w:cstheme="minorBidi"/>
          <w:szCs w:val="22"/>
        </w:rPr>
      </w:pPr>
      <w:hyperlink w:anchor="_Toc88834872" w:history="1">
        <w:r w:rsidRPr="00BD3EB1">
          <w:rPr>
            <w:rStyle w:val="Hyperlink"/>
          </w:rPr>
          <w:t>5.2</w:t>
        </w:r>
        <w:r>
          <w:rPr>
            <w:rFonts w:asciiTheme="minorHAnsi" w:eastAsiaTheme="minorEastAsia" w:hAnsiTheme="minorHAnsi" w:cstheme="minorBidi"/>
            <w:szCs w:val="22"/>
          </w:rPr>
          <w:tab/>
        </w:r>
        <w:r w:rsidRPr="00BD3EB1">
          <w:rPr>
            <w:rStyle w:val="Hyperlink"/>
          </w:rPr>
          <w:t>Prisniveau og andre forudsætninger</w:t>
        </w:r>
        <w:r>
          <w:tab/>
        </w:r>
        <w:r>
          <w:fldChar w:fldCharType="begin"/>
        </w:r>
        <w:r>
          <w:instrText xml:space="preserve"> PAGEREF _Toc88834872 \h </w:instrText>
        </w:r>
        <w:r>
          <w:fldChar w:fldCharType="separate"/>
        </w:r>
        <w:r>
          <w:t>15</w:t>
        </w:r>
        <w:r>
          <w:fldChar w:fldCharType="end"/>
        </w:r>
      </w:hyperlink>
    </w:p>
    <w:p w14:paraId="6C58C63A" w14:textId="2167A671" w:rsidR="002E5A80" w:rsidRDefault="002E5A80">
      <w:pPr>
        <w:pStyle w:val="TOC2"/>
        <w:rPr>
          <w:rFonts w:asciiTheme="minorHAnsi" w:eastAsiaTheme="minorEastAsia" w:hAnsiTheme="minorHAnsi" w:cstheme="minorBidi"/>
          <w:szCs w:val="22"/>
        </w:rPr>
      </w:pPr>
      <w:hyperlink w:anchor="_Toc88834873" w:history="1">
        <w:r w:rsidRPr="00BD3EB1">
          <w:rPr>
            <w:rStyle w:val="Hyperlink"/>
          </w:rPr>
          <w:t>5.3</w:t>
        </w:r>
        <w:r>
          <w:rPr>
            <w:rFonts w:asciiTheme="minorHAnsi" w:eastAsiaTheme="minorEastAsia" w:hAnsiTheme="minorHAnsi" w:cstheme="minorBidi"/>
            <w:szCs w:val="22"/>
          </w:rPr>
          <w:tab/>
        </w:r>
        <w:r w:rsidRPr="00BD3EB1">
          <w:rPr>
            <w:rStyle w:val="Hyperlink"/>
          </w:rPr>
          <w:t>Afskrivninger/kapital-omkostninger</w:t>
        </w:r>
        <w:r>
          <w:tab/>
        </w:r>
        <w:r>
          <w:fldChar w:fldCharType="begin"/>
        </w:r>
        <w:r>
          <w:instrText xml:space="preserve"> PAGEREF _Toc88834873 \h </w:instrText>
        </w:r>
        <w:r>
          <w:fldChar w:fldCharType="separate"/>
        </w:r>
        <w:r>
          <w:t>15</w:t>
        </w:r>
        <w:r>
          <w:fldChar w:fldCharType="end"/>
        </w:r>
      </w:hyperlink>
    </w:p>
    <w:p w14:paraId="24B98BA5" w14:textId="4279026D" w:rsidR="002E5A80" w:rsidRDefault="002E5A80">
      <w:pPr>
        <w:pStyle w:val="TOC2"/>
        <w:rPr>
          <w:rFonts w:asciiTheme="minorHAnsi" w:eastAsiaTheme="minorEastAsia" w:hAnsiTheme="minorHAnsi" w:cstheme="minorBidi"/>
          <w:szCs w:val="22"/>
        </w:rPr>
      </w:pPr>
      <w:hyperlink w:anchor="_Toc88834874" w:history="1">
        <w:r w:rsidRPr="00BD3EB1">
          <w:rPr>
            <w:rStyle w:val="Hyperlink"/>
          </w:rPr>
          <w:t>5.4</w:t>
        </w:r>
        <w:r>
          <w:rPr>
            <w:rFonts w:asciiTheme="minorHAnsi" w:eastAsiaTheme="minorEastAsia" w:hAnsiTheme="minorHAnsi" w:cstheme="minorBidi"/>
            <w:szCs w:val="22"/>
          </w:rPr>
          <w:tab/>
        </w:r>
        <w:r w:rsidRPr="00BD3EB1">
          <w:rPr>
            <w:rStyle w:val="Hyperlink"/>
          </w:rPr>
          <w:t>Service, reparation og vedligeholdelse</w:t>
        </w:r>
        <w:r>
          <w:tab/>
        </w:r>
        <w:r>
          <w:fldChar w:fldCharType="begin"/>
        </w:r>
        <w:r>
          <w:instrText xml:space="preserve"> PAGEREF _Toc88834874 \h </w:instrText>
        </w:r>
        <w:r>
          <w:fldChar w:fldCharType="separate"/>
        </w:r>
        <w:r>
          <w:t>18</w:t>
        </w:r>
        <w:r>
          <w:fldChar w:fldCharType="end"/>
        </w:r>
      </w:hyperlink>
    </w:p>
    <w:p w14:paraId="7D2EF40E" w14:textId="1AC20F4F" w:rsidR="002E5A80" w:rsidRDefault="002E5A80">
      <w:pPr>
        <w:pStyle w:val="TOC2"/>
        <w:rPr>
          <w:rFonts w:asciiTheme="minorHAnsi" w:eastAsiaTheme="minorEastAsia" w:hAnsiTheme="minorHAnsi" w:cstheme="minorBidi"/>
          <w:szCs w:val="22"/>
        </w:rPr>
      </w:pPr>
      <w:hyperlink w:anchor="_Toc88834875" w:history="1">
        <w:r w:rsidRPr="00BD3EB1">
          <w:rPr>
            <w:rStyle w:val="Hyperlink"/>
          </w:rPr>
          <w:t>5.5</w:t>
        </w:r>
        <w:r>
          <w:rPr>
            <w:rFonts w:asciiTheme="minorHAnsi" w:eastAsiaTheme="minorEastAsia" w:hAnsiTheme="minorHAnsi" w:cstheme="minorBidi"/>
            <w:szCs w:val="22"/>
          </w:rPr>
          <w:tab/>
        </w:r>
        <w:r w:rsidRPr="00BD3EB1">
          <w:rPr>
            <w:rStyle w:val="Hyperlink"/>
          </w:rPr>
          <w:t>Dæk</w:t>
        </w:r>
        <w:r>
          <w:tab/>
        </w:r>
        <w:r>
          <w:fldChar w:fldCharType="begin"/>
        </w:r>
        <w:r>
          <w:instrText xml:space="preserve"> PAGEREF _Toc88834875 \h </w:instrText>
        </w:r>
        <w:r>
          <w:fldChar w:fldCharType="separate"/>
        </w:r>
        <w:r>
          <w:t>22</w:t>
        </w:r>
        <w:r>
          <w:fldChar w:fldCharType="end"/>
        </w:r>
      </w:hyperlink>
    </w:p>
    <w:p w14:paraId="0D55C95B" w14:textId="4FC6E715" w:rsidR="002E5A80" w:rsidRDefault="002E5A80">
      <w:pPr>
        <w:pStyle w:val="TOC2"/>
        <w:rPr>
          <w:rFonts w:asciiTheme="minorHAnsi" w:eastAsiaTheme="minorEastAsia" w:hAnsiTheme="minorHAnsi" w:cstheme="minorBidi"/>
          <w:szCs w:val="22"/>
        </w:rPr>
      </w:pPr>
      <w:hyperlink w:anchor="_Toc88834876" w:history="1">
        <w:r w:rsidRPr="00BD3EB1">
          <w:rPr>
            <w:rStyle w:val="Hyperlink"/>
          </w:rPr>
          <w:t>5.6</w:t>
        </w:r>
        <w:r>
          <w:rPr>
            <w:rFonts w:asciiTheme="minorHAnsi" w:eastAsiaTheme="minorEastAsia" w:hAnsiTheme="minorHAnsi" w:cstheme="minorBidi"/>
            <w:szCs w:val="22"/>
          </w:rPr>
          <w:tab/>
        </w:r>
        <w:r w:rsidRPr="00BD3EB1">
          <w:rPr>
            <w:rStyle w:val="Hyperlink"/>
          </w:rPr>
          <w:t>Eventuelt batteri</w:t>
        </w:r>
        <w:r>
          <w:tab/>
        </w:r>
        <w:r>
          <w:fldChar w:fldCharType="begin"/>
        </w:r>
        <w:r>
          <w:instrText xml:space="preserve"> PAGEREF _Toc88834876 \h </w:instrText>
        </w:r>
        <w:r>
          <w:fldChar w:fldCharType="separate"/>
        </w:r>
        <w:r>
          <w:t>23</w:t>
        </w:r>
        <w:r>
          <w:fldChar w:fldCharType="end"/>
        </w:r>
      </w:hyperlink>
    </w:p>
    <w:p w14:paraId="2F1A5CBC" w14:textId="1A8C512D" w:rsidR="002E5A80" w:rsidRDefault="002E5A80">
      <w:pPr>
        <w:pStyle w:val="TOC2"/>
        <w:rPr>
          <w:rFonts w:asciiTheme="minorHAnsi" w:eastAsiaTheme="minorEastAsia" w:hAnsiTheme="minorHAnsi" w:cstheme="minorBidi"/>
          <w:szCs w:val="22"/>
        </w:rPr>
      </w:pPr>
      <w:hyperlink w:anchor="_Toc88834877" w:history="1">
        <w:r w:rsidRPr="00BD3EB1">
          <w:rPr>
            <w:rStyle w:val="Hyperlink"/>
          </w:rPr>
          <w:t>5.7</w:t>
        </w:r>
        <w:r>
          <w:rPr>
            <w:rFonts w:asciiTheme="minorHAnsi" w:eastAsiaTheme="minorEastAsia" w:hAnsiTheme="minorHAnsi" w:cstheme="minorBidi"/>
            <w:szCs w:val="22"/>
          </w:rPr>
          <w:tab/>
        </w:r>
        <w:r w:rsidRPr="00BD3EB1">
          <w:rPr>
            <w:rStyle w:val="Hyperlink"/>
          </w:rPr>
          <w:t>Chauffør-lønninger</w:t>
        </w:r>
        <w:r>
          <w:tab/>
        </w:r>
        <w:r>
          <w:fldChar w:fldCharType="begin"/>
        </w:r>
        <w:r>
          <w:instrText xml:space="preserve"> PAGEREF _Toc88834877 \h </w:instrText>
        </w:r>
        <w:r>
          <w:fldChar w:fldCharType="separate"/>
        </w:r>
        <w:r>
          <w:t>24</w:t>
        </w:r>
        <w:r>
          <w:fldChar w:fldCharType="end"/>
        </w:r>
      </w:hyperlink>
    </w:p>
    <w:p w14:paraId="21646660" w14:textId="5FAC3F1B" w:rsidR="002E5A80" w:rsidRDefault="002E5A80">
      <w:pPr>
        <w:pStyle w:val="TOC2"/>
        <w:rPr>
          <w:rFonts w:asciiTheme="minorHAnsi" w:eastAsiaTheme="minorEastAsia" w:hAnsiTheme="minorHAnsi" w:cstheme="minorBidi"/>
          <w:szCs w:val="22"/>
        </w:rPr>
      </w:pPr>
      <w:hyperlink w:anchor="_Toc88834878" w:history="1">
        <w:r w:rsidRPr="00BD3EB1">
          <w:rPr>
            <w:rStyle w:val="Hyperlink"/>
          </w:rPr>
          <w:t>5.8</w:t>
        </w:r>
        <w:r>
          <w:rPr>
            <w:rFonts w:asciiTheme="minorHAnsi" w:eastAsiaTheme="minorEastAsia" w:hAnsiTheme="minorHAnsi" w:cstheme="minorBidi"/>
            <w:szCs w:val="22"/>
          </w:rPr>
          <w:tab/>
        </w:r>
        <w:r w:rsidRPr="00BD3EB1">
          <w:rPr>
            <w:rStyle w:val="Hyperlink"/>
          </w:rPr>
          <w:t>Kapacitetsomkostninger</w:t>
        </w:r>
        <w:r>
          <w:tab/>
        </w:r>
        <w:r>
          <w:fldChar w:fldCharType="begin"/>
        </w:r>
        <w:r>
          <w:instrText xml:space="preserve"> PAGEREF _Toc88834878 \h </w:instrText>
        </w:r>
        <w:r>
          <w:fldChar w:fldCharType="separate"/>
        </w:r>
        <w:r>
          <w:t>24</w:t>
        </w:r>
        <w:r>
          <w:fldChar w:fldCharType="end"/>
        </w:r>
      </w:hyperlink>
    </w:p>
    <w:p w14:paraId="23B82EB1" w14:textId="30E69B32" w:rsidR="002E5A80" w:rsidRDefault="002E5A80">
      <w:pPr>
        <w:pStyle w:val="TOC2"/>
        <w:rPr>
          <w:rFonts w:asciiTheme="minorHAnsi" w:eastAsiaTheme="minorEastAsia" w:hAnsiTheme="minorHAnsi" w:cstheme="minorBidi"/>
          <w:szCs w:val="22"/>
        </w:rPr>
      </w:pPr>
      <w:hyperlink w:anchor="_Toc88834879" w:history="1">
        <w:r w:rsidRPr="00BD3EB1">
          <w:rPr>
            <w:rStyle w:val="Hyperlink"/>
          </w:rPr>
          <w:t>5.9</w:t>
        </w:r>
        <w:r>
          <w:rPr>
            <w:rFonts w:asciiTheme="minorHAnsi" w:eastAsiaTheme="minorEastAsia" w:hAnsiTheme="minorHAnsi" w:cstheme="minorBidi"/>
            <w:szCs w:val="22"/>
          </w:rPr>
          <w:tab/>
        </w:r>
        <w:r w:rsidRPr="00BD3EB1">
          <w:rPr>
            <w:rStyle w:val="Hyperlink"/>
          </w:rPr>
          <w:t>Afgifter</w:t>
        </w:r>
        <w:r>
          <w:tab/>
        </w:r>
        <w:r>
          <w:fldChar w:fldCharType="begin"/>
        </w:r>
        <w:r>
          <w:instrText xml:space="preserve"> PAGEREF _Toc88834879 \h </w:instrText>
        </w:r>
        <w:r>
          <w:fldChar w:fldCharType="separate"/>
        </w:r>
        <w:r>
          <w:t>25</w:t>
        </w:r>
        <w:r>
          <w:fldChar w:fldCharType="end"/>
        </w:r>
      </w:hyperlink>
    </w:p>
    <w:p w14:paraId="6BE41085" w14:textId="4F8D42CA" w:rsidR="002E5A80" w:rsidRDefault="002E5A80">
      <w:pPr>
        <w:pStyle w:val="TOC1"/>
        <w:rPr>
          <w:rFonts w:asciiTheme="minorHAnsi" w:eastAsiaTheme="minorEastAsia" w:hAnsiTheme="minorHAnsi" w:cstheme="minorBidi"/>
          <w:szCs w:val="22"/>
        </w:rPr>
      </w:pPr>
      <w:hyperlink w:anchor="_Toc88834880" w:history="1">
        <w:r w:rsidRPr="00BD3EB1">
          <w:rPr>
            <w:rStyle w:val="Hyperlink"/>
          </w:rPr>
          <w:t>6</w:t>
        </w:r>
        <w:r>
          <w:rPr>
            <w:rFonts w:asciiTheme="minorHAnsi" w:eastAsiaTheme="minorEastAsia" w:hAnsiTheme="minorHAnsi" w:cstheme="minorBidi"/>
            <w:szCs w:val="22"/>
          </w:rPr>
          <w:tab/>
        </w:r>
        <w:r w:rsidRPr="00BD3EB1">
          <w:rPr>
            <w:rStyle w:val="Hyperlink"/>
          </w:rPr>
          <w:t>Fremskrivning af kørselsomkostninger</w:t>
        </w:r>
        <w:r>
          <w:tab/>
        </w:r>
        <w:r>
          <w:fldChar w:fldCharType="begin"/>
        </w:r>
        <w:r>
          <w:instrText xml:space="preserve"> PAGEREF _Toc88834880 \h </w:instrText>
        </w:r>
        <w:r>
          <w:fldChar w:fldCharType="separate"/>
        </w:r>
        <w:r>
          <w:t>27</w:t>
        </w:r>
        <w:r>
          <w:fldChar w:fldCharType="end"/>
        </w:r>
      </w:hyperlink>
    </w:p>
    <w:p w14:paraId="275A9E74" w14:textId="5E32574E" w:rsidR="002E5A80" w:rsidRDefault="002E5A80">
      <w:pPr>
        <w:pStyle w:val="TOC1"/>
        <w:rPr>
          <w:rFonts w:asciiTheme="minorHAnsi" w:eastAsiaTheme="minorEastAsia" w:hAnsiTheme="minorHAnsi" w:cstheme="minorBidi"/>
          <w:szCs w:val="22"/>
        </w:rPr>
      </w:pPr>
      <w:hyperlink w:anchor="_Toc88834881" w:history="1">
        <w:r w:rsidRPr="00BD3EB1">
          <w:rPr>
            <w:rStyle w:val="Hyperlink"/>
          </w:rPr>
          <w:t>7</w:t>
        </w:r>
        <w:r>
          <w:rPr>
            <w:rFonts w:asciiTheme="minorHAnsi" w:eastAsiaTheme="minorEastAsia" w:hAnsiTheme="minorHAnsi" w:cstheme="minorBidi"/>
            <w:szCs w:val="22"/>
          </w:rPr>
          <w:tab/>
        </w:r>
        <w:r w:rsidRPr="00BD3EB1">
          <w:rPr>
            <w:rStyle w:val="Hyperlink"/>
          </w:rPr>
          <w:t>Sammenligning med tidligere enhedsomkostninger</w:t>
        </w:r>
        <w:r>
          <w:tab/>
        </w:r>
        <w:r>
          <w:fldChar w:fldCharType="begin"/>
        </w:r>
        <w:r>
          <w:instrText xml:space="preserve"> PAGEREF _Toc88834881 \h </w:instrText>
        </w:r>
        <w:r>
          <w:fldChar w:fldCharType="separate"/>
        </w:r>
        <w:r>
          <w:t>27</w:t>
        </w:r>
        <w:r>
          <w:fldChar w:fldCharType="end"/>
        </w:r>
      </w:hyperlink>
    </w:p>
    <w:p w14:paraId="5A7D7D6A" w14:textId="0CC56E30" w:rsidR="002E5A80" w:rsidRDefault="002E5A80">
      <w:pPr>
        <w:pStyle w:val="TOC2"/>
        <w:rPr>
          <w:rFonts w:asciiTheme="minorHAnsi" w:eastAsiaTheme="minorEastAsia" w:hAnsiTheme="minorHAnsi" w:cstheme="minorBidi"/>
          <w:szCs w:val="22"/>
        </w:rPr>
      </w:pPr>
      <w:hyperlink w:anchor="_Toc88834882" w:history="1">
        <w:r w:rsidRPr="00BD3EB1">
          <w:rPr>
            <w:rStyle w:val="Hyperlink"/>
          </w:rPr>
          <w:t>7.1</w:t>
        </w:r>
        <w:r>
          <w:rPr>
            <w:rFonts w:asciiTheme="minorHAnsi" w:eastAsiaTheme="minorEastAsia" w:hAnsiTheme="minorHAnsi" w:cstheme="minorBidi"/>
            <w:szCs w:val="22"/>
          </w:rPr>
          <w:tab/>
        </w:r>
        <w:r w:rsidRPr="00BD3EB1">
          <w:rPr>
            <w:rStyle w:val="Hyperlink"/>
          </w:rPr>
          <w:t>Personbiler</w:t>
        </w:r>
        <w:r>
          <w:tab/>
        </w:r>
        <w:r>
          <w:fldChar w:fldCharType="begin"/>
        </w:r>
        <w:r>
          <w:instrText xml:space="preserve"> PAGEREF _Toc88834882 \h </w:instrText>
        </w:r>
        <w:r>
          <w:fldChar w:fldCharType="separate"/>
        </w:r>
        <w:r>
          <w:t>27</w:t>
        </w:r>
        <w:r>
          <w:fldChar w:fldCharType="end"/>
        </w:r>
      </w:hyperlink>
    </w:p>
    <w:p w14:paraId="1B412AF8" w14:textId="1615F9A3" w:rsidR="002E5A80" w:rsidRDefault="002E5A80">
      <w:pPr>
        <w:pStyle w:val="TOC2"/>
        <w:rPr>
          <w:rFonts w:asciiTheme="minorHAnsi" w:eastAsiaTheme="minorEastAsia" w:hAnsiTheme="minorHAnsi" w:cstheme="minorBidi"/>
          <w:szCs w:val="22"/>
        </w:rPr>
      </w:pPr>
      <w:hyperlink w:anchor="_Toc88834883" w:history="1">
        <w:r w:rsidRPr="00BD3EB1">
          <w:rPr>
            <w:rStyle w:val="Hyperlink"/>
          </w:rPr>
          <w:t>7.2</w:t>
        </w:r>
        <w:r>
          <w:rPr>
            <w:rFonts w:asciiTheme="minorHAnsi" w:eastAsiaTheme="minorEastAsia" w:hAnsiTheme="minorHAnsi" w:cstheme="minorBidi"/>
            <w:szCs w:val="22"/>
          </w:rPr>
          <w:tab/>
        </w:r>
        <w:r w:rsidRPr="00BD3EB1">
          <w:rPr>
            <w:rStyle w:val="Hyperlink"/>
          </w:rPr>
          <w:t>Varebiler</w:t>
        </w:r>
        <w:r>
          <w:tab/>
        </w:r>
        <w:r>
          <w:fldChar w:fldCharType="begin"/>
        </w:r>
        <w:r>
          <w:instrText xml:space="preserve"> PAGEREF _Toc88834883 \h </w:instrText>
        </w:r>
        <w:r>
          <w:fldChar w:fldCharType="separate"/>
        </w:r>
        <w:r>
          <w:t>29</w:t>
        </w:r>
        <w:r>
          <w:fldChar w:fldCharType="end"/>
        </w:r>
      </w:hyperlink>
    </w:p>
    <w:p w14:paraId="4CFDD726" w14:textId="2E1A2F4E" w:rsidR="000822C6" w:rsidRPr="00F01D37" w:rsidRDefault="007C5BB0" w:rsidP="00F01D37">
      <w:pPr>
        <w:pStyle w:val="BodyTextNoSpace"/>
        <w:rPr>
          <w:lang w:val="en-GB"/>
        </w:rPr>
      </w:pPr>
      <w:r>
        <w:fldChar w:fldCharType="end"/>
      </w:r>
    </w:p>
    <w:p w14:paraId="42963A4F" w14:textId="33C63CFE" w:rsidR="00F01D37" w:rsidRDefault="00F01D37" w:rsidP="00F01D37">
      <w:pPr>
        <w:pStyle w:val="BodyText"/>
      </w:pPr>
    </w:p>
    <w:p w14:paraId="1313446A" w14:textId="38EAAB1B" w:rsidR="00F01D37" w:rsidRDefault="00F01D37">
      <w:pPr>
        <w:spacing w:line="240" w:lineRule="auto"/>
      </w:pPr>
      <w:r>
        <w:br w:type="page"/>
      </w:r>
    </w:p>
    <w:p w14:paraId="1DB2F870" w14:textId="30D9B1E2" w:rsidR="00F01D37" w:rsidRDefault="00F01D37" w:rsidP="00F01D37">
      <w:pPr>
        <w:pStyle w:val="Heading1"/>
      </w:pPr>
      <w:bookmarkStart w:id="0" w:name="_Toc88834860"/>
      <w:r>
        <w:lastRenderedPageBreak/>
        <w:t>Indledning</w:t>
      </w:r>
      <w:bookmarkEnd w:id="0"/>
    </w:p>
    <w:p w14:paraId="285EFE66" w14:textId="007114F0" w:rsidR="00286316" w:rsidRDefault="00286316" w:rsidP="00286316">
      <w:pPr>
        <w:pStyle w:val="BodyText"/>
      </w:pPr>
      <w:r>
        <w:t>De nuværende transportøkonomiske enhedsomkostninger vedr. lastbiler, varebiler og personbiler er udarbejdet i 2015. Priser for person- og varebiler blev yderligere opdateret i 2019. Siden 2015 er der sket vigtige udviklinger i bilparken:</w:t>
      </w:r>
    </w:p>
    <w:p w14:paraId="3D0DF67D" w14:textId="77777777" w:rsidR="00286316" w:rsidRDefault="00286316" w:rsidP="00286316">
      <w:pPr>
        <w:pStyle w:val="ListBullet"/>
      </w:pPr>
      <w:r>
        <w:t xml:space="preserve">personbiler er blevet mere energieffektive, dels som følge af forbrændingsteknologi, dels pga. en sammensætningseffekt i bilflåden, hvor små biler, elbiler og hybridbiler udgør en større andel </w:t>
      </w:r>
    </w:p>
    <w:p w14:paraId="5503EDE8" w14:textId="49ACBFBF" w:rsidR="00DC7019" w:rsidRDefault="00286316" w:rsidP="00DC7019">
      <w:pPr>
        <w:pStyle w:val="ListBullet"/>
      </w:pPr>
      <w:r>
        <w:t xml:space="preserve">afgifterne for bilerne er blevet ændret og takster samt indfasning i de næste år.  </w:t>
      </w:r>
    </w:p>
    <w:p w14:paraId="4F371D46" w14:textId="343A3753" w:rsidR="00286316" w:rsidRDefault="00015469" w:rsidP="00286316">
      <w:pPr>
        <w:pStyle w:val="BodyText"/>
      </w:pPr>
      <w:r>
        <w:t xml:space="preserve">Derfor er der gennemført endnu en opdatering af grundlaget for kørselsomkostningerne. </w:t>
      </w:r>
      <w:r w:rsidR="00286316">
        <w:t>Dette notat har til formål</w:t>
      </w:r>
      <w:r w:rsidR="001A0E27">
        <w:t xml:space="preserve"> </w:t>
      </w:r>
      <w:r w:rsidR="00FD3464">
        <w:t xml:space="preserve">at dokumentere </w:t>
      </w:r>
      <w:r w:rsidR="001C2533">
        <w:t xml:space="preserve">den seneste opdatering. Opdateringen har omfattet en større omlægning af modellen til at gennemføre beregningerne, idet det udover en opdatering med de nyeste biler, også er blevet muligt at </w:t>
      </w:r>
      <w:r w:rsidR="008A07C3">
        <w:t xml:space="preserve">beregne </w:t>
      </w:r>
      <w:r w:rsidR="00737530">
        <w:t>kørselsomkostningerne for fremtidige år</w:t>
      </w:r>
      <w:r w:rsidR="00F64C35">
        <w:t>, idet</w:t>
      </w:r>
      <w:r w:rsidR="001C2533">
        <w:t xml:space="preserve"> det nu </w:t>
      </w:r>
      <w:r w:rsidR="00F64C35">
        <w:t xml:space="preserve">er </w:t>
      </w:r>
      <w:r w:rsidR="001C2533">
        <w:t>muligt at beregne kørselsomkostningerne</w:t>
      </w:r>
      <w:r w:rsidR="00F64C35">
        <w:t xml:space="preserve"> på grund af </w:t>
      </w:r>
      <w:r w:rsidR="001C2533">
        <w:t>ændringer</w:t>
      </w:r>
      <w:r w:rsidR="00F64C35">
        <w:t>ne</w:t>
      </w:r>
      <w:r w:rsidR="001C2533">
        <w:t xml:space="preserve"> i afgiftssatserne</w:t>
      </w:r>
      <w:r w:rsidR="00F21C00">
        <w:t xml:space="preserve"> som er </w:t>
      </w:r>
      <w:r w:rsidR="00297355">
        <w:t>implementeret fra 2021</w:t>
      </w:r>
      <w:r w:rsidR="001C2533">
        <w:t>.</w:t>
      </w:r>
      <w:r w:rsidR="00297355">
        <w:t xml:space="preserve"> Denne sidste </w:t>
      </w:r>
      <w:r w:rsidR="002F15BF">
        <w:t xml:space="preserve">ændring giver også mulighed for at ændre på satserne i </w:t>
      </w:r>
      <w:r w:rsidR="00C1349C">
        <w:t xml:space="preserve">afgifterne, så konsekvenserne for kørselsomkostningerne </w:t>
      </w:r>
      <w:r w:rsidR="00F16145">
        <w:t>opgøres automatisk.</w:t>
      </w:r>
      <w:r w:rsidR="00794EA7">
        <w:t xml:space="preserve"> </w:t>
      </w:r>
    </w:p>
    <w:p w14:paraId="325ECB5B" w14:textId="2785ACF3" w:rsidR="001C2533" w:rsidRDefault="001C2533" w:rsidP="00286316">
      <w:pPr>
        <w:pStyle w:val="BodyText"/>
      </w:pPr>
      <w:r>
        <w:t>Endelig er der indført nye køretøjskategorier for at kunne afspejle det større antal af elektriske køretøjer. Der er nu flere kategorier af el- og pluginhybrid-personbiler og varebiler.</w:t>
      </w:r>
    </w:p>
    <w:p w14:paraId="3F2B274E" w14:textId="7BA75275" w:rsidR="006B0F30" w:rsidRDefault="006B0F30" w:rsidP="00286316">
      <w:pPr>
        <w:pStyle w:val="BodyText"/>
      </w:pPr>
      <w:r>
        <w:t xml:space="preserve">Det bemærkes, at der ikke er indlagt prognoser for </w:t>
      </w:r>
      <w:r w:rsidR="00C5614B">
        <w:t xml:space="preserve">sammensætningen af køretøjer på størrelseskategorier eller fordelt mellem drivmidler. </w:t>
      </w:r>
      <w:r w:rsidR="00B14349">
        <w:t xml:space="preserve">Når modellen beregner </w:t>
      </w:r>
      <w:r w:rsidR="00905A4D">
        <w:t xml:space="preserve">kørselsomkostninger for fremtidige år, </w:t>
      </w:r>
      <w:r w:rsidR="008C7FE7">
        <w:t>indsættes nye årgange af køretøjer ud fra den sammensætning, der er i 2021</w:t>
      </w:r>
      <w:r w:rsidR="00150723">
        <w:t xml:space="preserve">. Det betyder, at når der skal fastlægges </w:t>
      </w:r>
      <w:r w:rsidR="009A595D">
        <w:t xml:space="preserve">en </w:t>
      </w:r>
      <w:r w:rsidR="004F7D32">
        <w:t>sammenvægtet kørselsomkostning for f.eks. personbiler</w:t>
      </w:r>
      <w:r w:rsidR="008A2369">
        <w:t xml:space="preserve">, sker ændringen </w:t>
      </w:r>
      <w:r w:rsidR="004D2FCC">
        <w:t xml:space="preserve">på grund </w:t>
      </w:r>
      <w:r w:rsidR="002135AB">
        <w:t>af, at de ældste årgange i flåden erstattes med nye årgange, der er identiske med 2021 sammensætningen</w:t>
      </w:r>
      <w:r w:rsidR="007A70E2">
        <w:t xml:space="preserve"> i modellen. </w:t>
      </w:r>
      <w:r w:rsidR="007413DA">
        <w:t xml:space="preserve">Ligeledes er der ikke indlagt prognoser for </w:t>
      </w:r>
      <w:r w:rsidR="00DC17F8">
        <w:t xml:space="preserve">udviklingen i </w:t>
      </w:r>
      <w:r w:rsidR="008E6898">
        <w:t>priserne på køretøjerne</w:t>
      </w:r>
      <w:r w:rsidR="00871564">
        <w:t xml:space="preserve">. </w:t>
      </w:r>
      <w:r w:rsidR="00C773BC">
        <w:t>Det betyder f.eks.</w:t>
      </w:r>
      <w:r w:rsidR="00860451">
        <w:t>,</w:t>
      </w:r>
      <w:r w:rsidR="00C773BC">
        <w:t xml:space="preserve"> at der ikke </w:t>
      </w:r>
      <w:r w:rsidR="0062780F">
        <w:t xml:space="preserve">er indarbejdet </w:t>
      </w:r>
      <w:r w:rsidR="00E74B68">
        <w:t xml:space="preserve">en </w:t>
      </w:r>
      <w:r w:rsidR="006D696B">
        <w:t xml:space="preserve">reduktion i </w:t>
      </w:r>
      <w:r w:rsidR="00550C63">
        <w:t>prisen på elektriske køretøjer</w:t>
      </w:r>
      <w:r w:rsidR="00745AF5">
        <w:t>.</w:t>
      </w:r>
      <w:r w:rsidR="001E4833">
        <w:t xml:space="preserve"> I modellen </w:t>
      </w:r>
      <w:r w:rsidR="002F20D9">
        <w:t>trækkes på en prognose for udviklingen i brændstofpriserne</w:t>
      </w:r>
      <w:r w:rsidR="00AE75FB">
        <w:t xml:space="preserve">. Denne </w:t>
      </w:r>
      <w:r w:rsidR="00EA21B5">
        <w:t xml:space="preserve">er </w:t>
      </w:r>
      <w:r w:rsidR="002C68B3">
        <w:t xml:space="preserve">blevet tilføjet til </w:t>
      </w:r>
      <w:r w:rsidR="00836960">
        <w:t xml:space="preserve">den tidligere version af modellen, men er ikke opdateret </w:t>
      </w:r>
      <w:r w:rsidR="00FB4501">
        <w:t>til udarbejdelsen af</w:t>
      </w:r>
      <w:r w:rsidR="00C936C3">
        <w:t xml:space="preserve"> </w:t>
      </w:r>
      <w:r w:rsidR="00FB4501">
        <w:t>nærværende notat. Dette giver mulighed for bedre at sammenligne, hvordan de andre elementer af kørselsomkostningerne påvirker resultaterne</w:t>
      </w:r>
      <w:r w:rsidR="00E57BCF">
        <w:t xml:space="preserve"> sammenlignet med de tidligere udgaver</w:t>
      </w:r>
      <w:r w:rsidR="00FB4501">
        <w:t xml:space="preserve">. </w:t>
      </w:r>
      <w:r w:rsidR="00E57BCF">
        <w:t>Det er muligt</w:t>
      </w:r>
      <w:r w:rsidR="00C936C3">
        <w:t xml:space="preserve"> at </w:t>
      </w:r>
      <w:r w:rsidR="005553B9">
        <w:t xml:space="preserve">indlægge nye prognoser, </w:t>
      </w:r>
      <w:r w:rsidR="00E36B17">
        <w:t>hvis det er relevant.</w:t>
      </w:r>
    </w:p>
    <w:p w14:paraId="670B8295" w14:textId="3BEE2720" w:rsidR="00B916A4" w:rsidRDefault="00355463" w:rsidP="00286316">
      <w:pPr>
        <w:pStyle w:val="BodyText"/>
      </w:pPr>
      <w:r>
        <w:t xml:space="preserve">Det er i </w:t>
      </w:r>
      <w:r w:rsidR="00AC21EC">
        <w:t>notatet valgt at have mest fokus på de nye ting i modellen</w:t>
      </w:r>
      <w:r w:rsidR="00E46A35">
        <w:t>.</w:t>
      </w:r>
      <w:r w:rsidR="00AC21EC">
        <w:t xml:space="preserve"> </w:t>
      </w:r>
      <w:r w:rsidR="00E46A35">
        <w:t>D</w:t>
      </w:r>
      <w:r w:rsidR="00AC21EC">
        <w:t xml:space="preserve">er er ikke </w:t>
      </w:r>
      <w:r w:rsidR="00B940F8">
        <w:t xml:space="preserve">lavet </w:t>
      </w:r>
      <w:proofErr w:type="gramStart"/>
      <w:r w:rsidR="00B940F8">
        <w:t>væsentlig</w:t>
      </w:r>
      <w:proofErr w:type="gramEnd"/>
      <w:r w:rsidR="00B940F8">
        <w:t xml:space="preserve"> ændringer i </w:t>
      </w:r>
      <w:r w:rsidR="004B2F40">
        <w:t xml:space="preserve">de afsnit, der behandler </w:t>
      </w:r>
      <w:r w:rsidR="00E46A35">
        <w:t>elementer af kørselsomkostningerne, hvor der ikk</w:t>
      </w:r>
      <w:r w:rsidR="00965E8A">
        <w:t>e</w:t>
      </w:r>
      <w:r w:rsidR="00E46A35">
        <w:t xml:space="preserve"> er sket ændringer i den opdaterede model. </w:t>
      </w:r>
    </w:p>
    <w:p w14:paraId="50577CEA" w14:textId="208B84B4" w:rsidR="00286316" w:rsidRDefault="00286316" w:rsidP="00286316">
      <w:pPr>
        <w:pStyle w:val="Heading1"/>
      </w:pPr>
      <w:bookmarkStart w:id="1" w:name="_Toc88834861"/>
      <w:r>
        <w:t>Struktur og opsætning af beregningsmodel</w:t>
      </w:r>
      <w:bookmarkEnd w:id="1"/>
    </w:p>
    <w:p w14:paraId="40EB6660" w14:textId="77777777" w:rsidR="00286316" w:rsidRDefault="00286316" w:rsidP="00286316">
      <w:pPr>
        <w:pStyle w:val="BodyText"/>
      </w:pPr>
      <w:r w:rsidRPr="00617A99">
        <w:t xml:space="preserve">Beregningen af kørselsomkostninger sker i tre trin svarende til tre niveauer:  Et specifikt niveau III baseret på konkrete omkostningsdata for specifikke </w:t>
      </w:r>
      <w:r w:rsidRPr="00617A99">
        <w:lastRenderedPageBreak/>
        <w:t xml:space="preserve">repræsentative køretøjer som eksempelvis en ”Volkswagen Passat variant 2.0 </w:t>
      </w:r>
      <w:proofErr w:type="spellStart"/>
      <w:r w:rsidRPr="00617A99">
        <w:t>tdi</w:t>
      </w:r>
      <w:proofErr w:type="spellEnd"/>
      <w:r w:rsidRPr="00617A99">
        <w:t xml:space="preserve"> af årgang 2011”, et detaljeret niveau II baseret på vægtede gennemsnit af omkostningsdata repræsenterende en udvalgt kategori af køretøjer som eksempelvis ”Mellemstor diesel personbil”, samt et overordnet niveau I</w:t>
      </w:r>
      <w:r>
        <w:t>, hvor person- og varebiler er opdelt efter brændstof, for eksempel "diesel personbil" og hvor lastbiler er opdelt efter type og størrelse.</w:t>
      </w:r>
    </w:p>
    <w:p w14:paraId="4D5A2630" w14:textId="77777777" w:rsidR="00E71E1D" w:rsidRDefault="00E71E1D" w:rsidP="00286316">
      <w:pPr>
        <w:pStyle w:val="BodyText"/>
      </w:pPr>
      <w:r>
        <w:t xml:space="preserve">Den konkrete beregning af kørselsomkostningerne sker i en regnearksmodel, der er udarbejdet netop med henblik på at dokumentere de anvendte data og den grundliggende beregningsgang, herunder sammenvægtning af data fra et niveau til næste niveau. </w:t>
      </w:r>
    </w:p>
    <w:p w14:paraId="7D42B6C7" w14:textId="07FE99AD" w:rsidR="00737D35" w:rsidRDefault="00C2625D" w:rsidP="00286316">
      <w:pPr>
        <w:pStyle w:val="BodyText"/>
      </w:pPr>
      <w:r>
        <w:t xml:space="preserve">I forhold til tidligere udgaver af </w:t>
      </w:r>
      <w:r w:rsidR="004473EB">
        <w:t xml:space="preserve">regnearket, sker </w:t>
      </w:r>
      <w:r w:rsidR="007F77F7">
        <w:t xml:space="preserve">datahåndteringen </w:t>
      </w:r>
      <w:r w:rsidR="00283408">
        <w:t xml:space="preserve">på niveau III med flere trin, så det er muligt at håndtere </w:t>
      </w:r>
      <w:r w:rsidR="001E3102">
        <w:t>de konkrete afgifter, der gælder for køretøjer fra forskellige årgange</w:t>
      </w:r>
      <w:r w:rsidR="00083EF7">
        <w:t>. Det</w:t>
      </w:r>
      <w:r w:rsidR="005D48ED">
        <w:t xml:space="preserve"> sikrer, at </w:t>
      </w:r>
      <w:r w:rsidR="00EB51D1">
        <w:t xml:space="preserve">afgifterne for fremtidige år </w:t>
      </w:r>
      <w:r w:rsidR="001F30F3">
        <w:t>indarbe</w:t>
      </w:r>
      <w:r w:rsidR="00CD0920">
        <w:t>jder</w:t>
      </w:r>
      <w:r w:rsidR="00DD038A">
        <w:t xml:space="preserve"> </w:t>
      </w:r>
      <w:r w:rsidR="00FF01E1">
        <w:t>ændringerne i takster</w:t>
      </w:r>
      <w:r w:rsidR="00100FA3">
        <w:t xml:space="preserve"> og gradvis indfasning af nye registreringsafgifter. Det sikrer også, at </w:t>
      </w:r>
      <w:r w:rsidR="00D36E1C">
        <w:t xml:space="preserve">eventuelle ændringer </w:t>
      </w:r>
      <w:r w:rsidR="006C6785">
        <w:t>i afgiftsniveauer eller takster</w:t>
      </w:r>
      <w:r w:rsidR="00170C3E">
        <w:t xml:space="preserve"> automatisk håndteres i modellen. </w:t>
      </w:r>
      <w:r w:rsidR="00CD0920">
        <w:t xml:space="preserve"> </w:t>
      </w:r>
    </w:p>
    <w:p w14:paraId="5AAED051" w14:textId="0EC14037" w:rsidR="00286316" w:rsidRDefault="00286316" w:rsidP="00286316">
      <w:pPr>
        <w:pStyle w:val="BodyText"/>
      </w:pPr>
      <w:r>
        <w:t>Modellens struktur afspejler de forskellige køretøjskategorier og niveauer. Modellen er således opbygget med et faneblad for hv</w:t>
      </w:r>
      <w:r w:rsidRPr="00381455">
        <w:t xml:space="preserve">ert af </w:t>
      </w:r>
      <w:r w:rsidR="00F36A10" w:rsidRPr="00381455">
        <w:t>ni</w:t>
      </w:r>
      <w:r w:rsidRPr="00381455">
        <w:t xml:space="preserve"> overordnede kategorier af køretøjer som eksempelvis ”Diesel personbil” samt et faneblad</w:t>
      </w:r>
      <w:r w:rsidR="00714462">
        <w:t>,</w:t>
      </w:r>
      <w:r w:rsidRPr="00381455">
        <w:t xml:space="preserve"> der samler resultaterne dvs. de beregnede kørselsomkostninger på overordnet niveau; personbiler, varebiler og lastbiler. Endelig findes bagerst et faneblad med fælles forudsætninger</w:t>
      </w:r>
      <w:r w:rsidR="00CA3D7A">
        <w:t>,</w:t>
      </w:r>
      <w:r w:rsidR="00D37BF6">
        <w:t xml:space="preserve"> et faneblad med </w:t>
      </w:r>
      <w:r w:rsidR="00E26CCA">
        <w:t>takster</w:t>
      </w:r>
      <w:r w:rsidR="00A1662F">
        <w:t xml:space="preserve"> for registreringsafgifterne</w:t>
      </w:r>
      <w:r w:rsidR="00CA3D7A">
        <w:t xml:space="preserve"> og et faneblad med </w:t>
      </w:r>
      <w:r w:rsidR="007E2E76">
        <w:t>årlige afgifter</w:t>
      </w:r>
      <w:r w:rsidRPr="00381455">
        <w:t xml:space="preserve">. Hvert af de </w:t>
      </w:r>
      <w:r w:rsidR="00F36A10" w:rsidRPr="00381455">
        <w:t>ni</w:t>
      </w:r>
      <w:r w:rsidRPr="00381455">
        <w:t xml:space="preserve"> faneblade for hver af de </w:t>
      </w:r>
      <w:r w:rsidR="00F36A10" w:rsidRPr="00381455">
        <w:t>ni</w:t>
      </w:r>
      <w:r w:rsidRPr="00381455">
        <w:t xml:space="preserve"> ove</w:t>
      </w:r>
      <w:r>
        <w:t xml:space="preserve">rordnede kategorier af køretøjer følger som udgangspunkt samme struktur, der afspejler de indledningsvist omtalte tre niveauer for beregningen af kørselsomkostninger. </w:t>
      </w:r>
    </w:p>
    <w:p w14:paraId="6A28A84E" w14:textId="047D8236" w:rsidR="00286316" w:rsidRDefault="00286316" w:rsidP="00286316">
      <w:pPr>
        <w:pStyle w:val="BodyText"/>
      </w:pPr>
      <w:r>
        <w:t xml:space="preserve">På det laveste og mest specifikke niveau III specificeres de konkrete omkostningsdata og andre data for de enkelte specifikke repræsentative køretøjer, der er indsamlet for det enkelte køretøj eller estimeret på basis af mere generelle omkostningsdata ud fra antagelser om sammenhænge i omkostningsdata. </w:t>
      </w:r>
      <w:r w:rsidR="00997E6B">
        <w:t xml:space="preserve">Eksempelvis er der </w:t>
      </w:r>
      <w:r w:rsidR="00065CDE">
        <w:t xml:space="preserve">indarbejdet </w:t>
      </w:r>
      <w:r w:rsidR="006220CD">
        <w:t xml:space="preserve">en </w:t>
      </w:r>
      <w:r w:rsidR="000A1581">
        <w:t xml:space="preserve">beregningsformel for vedligeholdelsesomkostninger for person- og varebiler, der </w:t>
      </w:r>
      <w:r w:rsidR="00ED5C1F">
        <w:t xml:space="preserve">tager hensyn til de stigende omkostninger </w:t>
      </w:r>
      <w:r w:rsidR="00491ECE">
        <w:t xml:space="preserve">når bilerne har kørt længere, og der er indlagt konkrete beregninger, der styrer </w:t>
      </w:r>
      <w:r w:rsidR="009176F2">
        <w:t>skrotningen af biler i ældre årgange</w:t>
      </w:r>
      <w:r w:rsidR="00B5468B">
        <w:t>.</w:t>
      </w:r>
      <w:r w:rsidR="00534D57">
        <w:rPr>
          <w:rStyle w:val="FootnoteReference"/>
        </w:rPr>
        <w:footnoteReference w:id="2"/>
      </w:r>
      <w:r w:rsidR="00B5468B">
        <w:t xml:space="preserve"> </w:t>
      </w:r>
    </w:p>
    <w:p w14:paraId="34CDAC07" w14:textId="271B21B9" w:rsidR="00286316" w:rsidRDefault="00286316" w:rsidP="00286316">
      <w:pPr>
        <w:pStyle w:val="BodyText"/>
      </w:pPr>
      <w:r>
        <w:t xml:space="preserve">På dette niveau specificeres også konkrete data for årskørsel/trafikarbejde for såvel de specifikke repræsentative køretøjer som for de overordnede køretøjer ligesom der specificeres konkrete data for levetider opgjort både som alder og samlet kørsel m.v. Endelig beregnes på dette niveau også de relevante omkostnings-komponenter for de specifikke repræsentative køretøjer. </w:t>
      </w:r>
    </w:p>
    <w:p w14:paraId="514D4D67" w14:textId="741674BB" w:rsidR="00286316" w:rsidRDefault="00286316" w:rsidP="00286316">
      <w:pPr>
        <w:pStyle w:val="BodyText"/>
      </w:pPr>
      <w:r>
        <w:t>På det mellemste niveau II beregnes de sammenvægtede tilsvarende omkostnings-komponenter på det detaljerede niveau for de udvalgte køretøjskategorier. Tilsvarende beregnes på det øverste niveau de sammenvægtede omkostningskomponenter for de overordnede kategorier af køretøjer.</w:t>
      </w:r>
      <w:r w:rsidR="002605E5">
        <w:t xml:space="preserve"> </w:t>
      </w:r>
      <w:r w:rsidR="002605E5">
        <w:lastRenderedPageBreak/>
        <w:t xml:space="preserve">Sammenvægtningen mellem de forskellige køretøjer sker </w:t>
      </w:r>
      <w:r w:rsidR="00EB1C6D">
        <w:t xml:space="preserve">på baggrund af </w:t>
      </w:r>
      <w:r w:rsidR="00B3282B">
        <w:t>køretøjernes andel af det samlede trafikarbejde.</w:t>
      </w:r>
    </w:p>
    <w:p w14:paraId="11B620BF" w14:textId="0CE6F220" w:rsidR="003231C0" w:rsidRPr="005F3F5F" w:rsidRDefault="003231C0" w:rsidP="00286316">
      <w:pPr>
        <w:pStyle w:val="BodyText"/>
      </w:pPr>
      <w:r>
        <w:t>Som input til beregningerne er der</w:t>
      </w:r>
      <w:r w:rsidR="00650267">
        <w:t>,</w:t>
      </w:r>
      <w:r>
        <w:t xml:space="preserve"> </w:t>
      </w:r>
      <w:r w:rsidR="00650267">
        <w:t xml:space="preserve">som nævnt, </w:t>
      </w:r>
      <w:r>
        <w:t>lavet et nyt afgiftsinputark. Dette ark indeholder de konkrete afgifter og afgiftssatser for de forskellige bilkategorier. Derudover indeholder det aftalte ændringer i satser og gradvis indfasning af afgifterne. I dette ark er det således muligt at indlægge ændrede satser mm. hvis der laves aftaler om det. Tidsdimensionen er ligeledes nyt, og inputarket benyttes til at give kørselsomkostningerne, hvor der konkret tages hensyn til taksten i det år kørselsomkostningerne skal fastlægges for.</w:t>
      </w:r>
    </w:p>
    <w:p w14:paraId="236EC104" w14:textId="1A281CA5" w:rsidR="00286316" w:rsidRDefault="00286316" w:rsidP="00286316">
      <w:pPr>
        <w:pStyle w:val="Heading1"/>
      </w:pPr>
      <w:bookmarkStart w:id="2" w:name="_Toc88834862"/>
      <w:r>
        <w:t>Generelt</w:t>
      </w:r>
      <w:bookmarkEnd w:id="2"/>
    </w:p>
    <w:p w14:paraId="5826D3B6" w14:textId="483A6821" w:rsidR="00286316" w:rsidRDefault="00286316" w:rsidP="00286316">
      <w:pPr>
        <w:pStyle w:val="BodyText"/>
      </w:pPr>
      <w:r w:rsidRPr="00E42AAB">
        <w:t>Helt overordnet baseres beregningerne af kørselsomkostningerne – som det også fremgår ovenfor – på omkostninger forbundet med anskaffelse, reparation</w:t>
      </w:r>
      <w:r w:rsidR="003231C0">
        <w:t>, afgifter</w:t>
      </w:r>
      <w:r w:rsidRPr="00E42AAB">
        <w:t xml:space="preserve"> og vedligeholdelse samt drift af individuelle konkrete køretøjer, der kan anses som repræsentative for udvalgte kategorier af køretøjer. Kategorisering sker med udgangspunkt i kriterier som fx drivmiddel, vægt og motorstørrelse, mens </w:t>
      </w:r>
      <w:r>
        <w:t xml:space="preserve">udvælgelse af de specifikke repræsentative køretøjer indenfor de forskellige kategorier sker på basis af </w:t>
      </w:r>
      <w:r w:rsidR="00D33D2E">
        <w:t xml:space="preserve">salgstallene </w:t>
      </w:r>
      <w:r>
        <w:t>for konkrete modeller indenfor et antal udvalgte årgange.</w:t>
      </w:r>
    </w:p>
    <w:p w14:paraId="6494C72E" w14:textId="77777777" w:rsidR="00286316" w:rsidRPr="00E42AAB" w:rsidRDefault="00286316" w:rsidP="00286316">
      <w:pPr>
        <w:pStyle w:val="BodyText"/>
      </w:pPr>
      <w:r>
        <w:t>I det følgende beskrives kategorisering og udvælgelse af repræsentative køretøjer nærmere, herunder beregningerne af trafikarbejde/årskørsel m.v.</w:t>
      </w:r>
    </w:p>
    <w:p w14:paraId="0FDFA2A3" w14:textId="2376E627" w:rsidR="00286316" w:rsidRDefault="00286316" w:rsidP="00286316">
      <w:pPr>
        <w:pStyle w:val="Heading2"/>
      </w:pPr>
      <w:bookmarkStart w:id="3" w:name="_Toc88834863"/>
      <w:r>
        <w:t>Køretøjskategorier, teknologier og niveauer</w:t>
      </w:r>
      <w:bookmarkEnd w:id="3"/>
    </w:p>
    <w:p w14:paraId="55E2D8E5" w14:textId="77777777" w:rsidR="00286316" w:rsidRDefault="00286316" w:rsidP="00286316">
      <w:pPr>
        <w:pStyle w:val="BodyText"/>
      </w:pPr>
      <w:r>
        <w:t xml:space="preserve">Omkostninger i nøgletalskataloget opgøres dels på et detaljeret niveau svarende til de udvalgte kategorier af køretøjer, der i øvrigt vil blive afgrænset så disse er </w:t>
      </w:r>
      <w:r w:rsidRPr="007D29F4">
        <w:t>konsistent</w:t>
      </w:r>
      <w:r>
        <w:t>e</w:t>
      </w:r>
      <w:r w:rsidRPr="007D29F4">
        <w:t xml:space="preserve"> med størrelsesopdelinger og brændstofopdelinger i TEMA</w:t>
      </w:r>
      <w:r>
        <w:rPr>
          <w:rStyle w:val="FootnoteReference"/>
        </w:rPr>
        <w:footnoteReference w:id="3"/>
      </w:r>
      <w:r w:rsidRPr="007D29F4">
        <w:t xml:space="preserve"> og </w:t>
      </w:r>
      <w:r w:rsidRPr="00C63F34">
        <w:t>COPERT</w:t>
      </w:r>
      <w:r>
        <w:rPr>
          <w:rStyle w:val="FootnoteReference"/>
        </w:rPr>
        <w:footnoteReference w:id="4"/>
      </w:r>
      <w:r w:rsidRPr="007D29F4">
        <w:t xml:space="preserve">. </w:t>
      </w:r>
      <w:r>
        <w:t xml:space="preserve">Kategorierne er følgende: </w:t>
      </w:r>
    </w:p>
    <w:p w14:paraId="7AA7BA7B" w14:textId="77777777" w:rsidR="00286316" w:rsidRDefault="00286316" w:rsidP="00286316">
      <w:pPr>
        <w:pStyle w:val="ListBulletNoSpace"/>
      </w:pPr>
      <w:r>
        <w:t>Personbil, benzin: Mini, lille, mellem og stor</w:t>
      </w:r>
    </w:p>
    <w:p w14:paraId="0FA9F31A" w14:textId="40FC71B2" w:rsidR="00286316" w:rsidRDefault="00286316" w:rsidP="00286316">
      <w:pPr>
        <w:pStyle w:val="ListBulletNoSpace"/>
      </w:pPr>
      <w:r>
        <w:t>Personbil, diesel: Lille, mellem og stor</w:t>
      </w:r>
    </w:p>
    <w:p w14:paraId="05DFEE03" w14:textId="780A45D9" w:rsidR="00286316" w:rsidRDefault="00286316" w:rsidP="00286316">
      <w:pPr>
        <w:pStyle w:val="ListBulletNoSpace"/>
      </w:pPr>
      <w:r>
        <w:t>Personbil, plug-in hybrid: Lille, mellem og stor</w:t>
      </w:r>
    </w:p>
    <w:p w14:paraId="7ABA9A17" w14:textId="712F1CD8" w:rsidR="00286316" w:rsidRDefault="00286316" w:rsidP="00286316">
      <w:pPr>
        <w:pStyle w:val="ListBullet"/>
      </w:pPr>
      <w:r>
        <w:t>Personbil, el: Lille, mellem og stor</w:t>
      </w:r>
    </w:p>
    <w:p w14:paraId="63B65C9D" w14:textId="77777777" w:rsidR="00286316" w:rsidRDefault="00286316" w:rsidP="00286316">
      <w:pPr>
        <w:pStyle w:val="ListBulletNoSpace"/>
      </w:pPr>
      <w:r>
        <w:t>Varebil, benzin: Lille, mellem og stor</w:t>
      </w:r>
    </w:p>
    <w:p w14:paraId="0B77683C" w14:textId="7336CEBB" w:rsidR="00286316" w:rsidRDefault="00286316" w:rsidP="00286316">
      <w:pPr>
        <w:pStyle w:val="ListBulletNoSpace"/>
      </w:pPr>
      <w:r>
        <w:t>Varebil, diesel: Lille, mellem og stor</w:t>
      </w:r>
    </w:p>
    <w:p w14:paraId="18A5DCD0" w14:textId="2E14DB39" w:rsidR="000708D5" w:rsidRDefault="000708D5" w:rsidP="00286316">
      <w:pPr>
        <w:pStyle w:val="ListBulletNoSpace"/>
      </w:pPr>
      <w:r>
        <w:t>Varebil, plug-in hybrid: Mellem og stor</w:t>
      </w:r>
    </w:p>
    <w:p w14:paraId="55E8F57B" w14:textId="0727A9FD" w:rsidR="00286316" w:rsidRDefault="00286316" w:rsidP="000708D5">
      <w:pPr>
        <w:pStyle w:val="ListBulletNoSpace"/>
      </w:pPr>
      <w:r>
        <w:t>Varebil, el: Lille, mellem og stor</w:t>
      </w:r>
    </w:p>
    <w:p w14:paraId="77A921B1" w14:textId="77777777" w:rsidR="00286316" w:rsidRDefault="00286316" w:rsidP="00286316">
      <w:pPr>
        <w:pStyle w:val="ListBulletNoSpace"/>
        <w:numPr>
          <w:ilvl w:val="0"/>
          <w:numId w:val="0"/>
        </w:numPr>
        <w:ind w:left="425"/>
      </w:pPr>
    </w:p>
    <w:p w14:paraId="22C599A0" w14:textId="77777777" w:rsidR="00DB1774" w:rsidRDefault="00286316" w:rsidP="00DB1774">
      <w:pPr>
        <w:pStyle w:val="ListBullet"/>
      </w:pPr>
      <w:r w:rsidRPr="00231BA5">
        <w:t>Lastbil, diesel: Lastbil u. anhænger &lt; 12 T, lastbil u. anhænger &gt; 12 T, lastbil m. anhænger, sættevognstog samt modulvogntog</w:t>
      </w:r>
      <w:r w:rsidRPr="00231BA5">
        <w:rPr>
          <w:rStyle w:val="FootnoteReference"/>
        </w:rPr>
        <w:footnoteReference w:id="5"/>
      </w:r>
    </w:p>
    <w:p w14:paraId="4456E183" w14:textId="0CF4B05F" w:rsidR="00DB1774" w:rsidRDefault="00DB1774" w:rsidP="00DB1774">
      <w:pPr>
        <w:pStyle w:val="BodyText"/>
      </w:pPr>
      <w:r w:rsidRPr="0089047B">
        <w:lastRenderedPageBreak/>
        <w:t>Med hensyn til lastbilerne, så er der 13 forskellige størrelser i TEMA/</w:t>
      </w:r>
      <w:proofErr w:type="spellStart"/>
      <w:r w:rsidRPr="0089047B">
        <w:t>Copert</w:t>
      </w:r>
      <w:proofErr w:type="spellEnd"/>
      <w:r w:rsidRPr="0089047B">
        <w:t xml:space="preserve">. Det vurderes, at det vil kræve for mange ressourcer sammenholdt med forventet merværdi at indsamle omkostningsdata på alle 13 køretøjstyper. I stedet er det valgt at udvælge de fem lastbiltyper, -størrelser som </w:t>
      </w:r>
      <w:r>
        <w:t>anvendes i Landstrafikmodellen.</w:t>
      </w:r>
      <w:r w:rsidR="003231C0">
        <w:t xml:space="preserve"> </w:t>
      </w:r>
    </w:p>
    <w:p w14:paraId="251178F7" w14:textId="3AEB4A53" w:rsidR="005B36D4" w:rsidRDefault="005B36D4" w:rsidP="00DB1774">
      <w:pPr>
        <w:pStyle w:val="BodyText"/>
      </w:pPr>
      <w:r>
        <w:t xml:space="preserve">For </w:t>
      </w:r>
      <w:r w:rsidR="00B03C18">
        <w:t xml:space="preserve">person- og </w:t>
      </w:r>
      <w:proofErr w:type="spellStart"/>
      <w:r w:rsidR="00B03C18">
        <w:t>varebilkategorierne</w:t>
      </w:r>
      <w:proofErr w:type="spellEnd"/>
      <w:r w:rsidR="00B03C18">
        <w:t xml:space="preserve"> er der kommet nye bilkategorier med flere varianter af elektriske og plugin-</w:t>
      </w:r>
      <w:proofErr w:type="gramStart"/>
      <w:r w:rsidR="00B03C18">
        <w:t>hybrid</w:t>
      </w:r>
      <w:proofErr w:type="gramEnd"/>
      <w:r w:rsidR="00B03C18">
        <w:t xml:space="preserve"> varianter. Til gengæld er der ikke længere en benzin-hybridbil</w:t>
      </w:r>
      <w:r w:rsidR="00E3085D">
        <w:t xml:space="preserve">, idet den </w:t>
      </w:r>
      <w:r w:rsidR="00047367">
        <w:t xml:space="preserve">betragtes som </w:t>
      </w:r>
      <w:r w:rsidR="00810C79">
        <w:t xml:space="preserve">en </w:t>
      </w:r>
      <w:r w:rsidR="005F66BA">
        <w:t xml:space="preserve">bil, der kører på benzin. </w:t>
      </w:r>
      <w:r w:rsidR="001F270F">
        <w:t xml:space="preserve"> For lastbilerne, er der ikke lavet ændringer i kategorierne.</w:t>
      </w:r>
    </w:p>
    <w:p w14:paraId="43666FC4" w14:textId="6B687CC0" w:rsidR="00DB1774" w:rsidRDefault="00DB1774" w:rsidP="00AB1BA5">
      <w:pPr>
        <w:pStyle w:val="Heading2"/>
      </w:pPr>
      <w:bookmarkStart w:id="4" w:name="_Toc88834864"/>
      <w:r>
        <w:t>Udvælgelse af konkrete, repræsentative køretøjer</w:t>
      </w:r>
      <w:bookmarkEnd w:id="4"/>
    </w:p>
    <w:p w14:paraId="0193F9BB" w14:textId="0A5E4077" w:rsidR="00B2052C" w:rsidRDefault="005437CC" w:rsidP="00B2052C">
      <w:pPr>
        <w:pStyle w:val="BodyText"/>
      </w:pPr>
      <w:r>
        <w:t>K</w:t>
      </w:r>
      <w:r w:rsidR="00B2052C">
        <w:t xml:space="preserve">øretøjerne </w:t>
      </w:r>
      <w:r>
        <w:t xml:space="preserve">er </w:t>
      </w:r>
      <w:r w:rsidR="00B2052C">
        <w:t>delt op efter størrelse og brændstof</w:t>
      </w:r>
      <w:r>
        <w:t xml:space="preserve"> jf. forrige afsnit. For at kunne identificere konkrete køretøjer i disse kategorier, er der opstillet nogle udvælgelseskriterier</w:t>
      </w:r>
      <w:r w:rsidR="006D2FE5">
        <w:t xml:space="preserve"> som anvendes i analysen af </w:t>
      </w:r>
      <w:r w:rsidR="005F5965">
        <w:t xml:space="preserve">salgstallene for bilerne. </w:t>
      </w:r>
      <w:r>
        <w:t xml:space="preserve"> </w:t>
      </w:r>
    </w:p>
    <w:p w14:paraId="24E03F0C" w14:textId="5C03AB38" w:rsidR="00B2052C" w:rsidRDefault="00B2052C" w:rsidP="00B2052C">
      <w:pPr>
        <w:pStyle w:val="BodyText"/>
      </w:pPr>
      <w:r>
        <w:t xml:space="preserve">For personbiler er opdelingen hovedsagelig baseret på motorstørrelse. Som udgangspunkt er valgt samme opdeling som i TEMA2015. Derudover er kategorien "Lille" </w:t>
      </w:r>
      <w:r w:rsidR="00F3732E">
        <w:t>i TEMA 2015</w:t>
      </w:r>
      <w:r w:rsidR="00CF2A7B">
        <w:t xml:space="preserve"> </w:t>
      </w:r>
      <w:r>
        <w:t>underopdelt i 2 størrelser efter egenvægten</w:t>
      </w:r>
      <w:r w:rsidR="00F3732E">
        <w:t xml:space="preserve"> </w:t>
      </w:r>
      <w:r w:rsidR="00CF2A7B">
        <w:t>til en såkaldt "mini-kategori</w:t>
      </w:r>
      <w:r w:rsidR="00342164">
        <w:t>"</w:t>
      </w:r>
      <w:r w:rsidR="0074002D">
        <w:t xml:space="preserve"> og en lille</w:t>
      </w:r>
      <w:r w:rsidR="009325DB">
        <w:t>-kategori</w:t>
      </w:r>
      <w:r>
        <w:t xml:space="preserve">. </w:t>
      </w:r>
      <w:r w:rsidR="00FB01B8">
        <w:t>Dog er kategorien mini udeladt for plugin-hybrid- og elbiler idet der endnu ikke er tilstrækkeligt mange</w:t>
      </w:r>
      <w:r w:rsidR="004B587A">
        <w:t xml:space="preserve"> modeller</w:t>
      </w:r>
      <w:r w:rsidR="00FB01B8">
        <w:t xml:space="preserve"> på markedet endnu.</w:t>
      </w:r>
    </w:p>
    <w:p w14:paraId="49DF671B" w14:textId="30B0AA95" w:rsidR="00B2052C" w:rsidRDefault="00B2052C" w:rsidP="00B2052C">
      <w:pPr>
        <w:pStyle w:val="Caption"/>
        <w:keepNext/>
      </w:pPr>
      <w:r>
        <w:t xml:space="preserve">Tabel </w:t>
      </w:r>
      <w:r w:rsidR="009A42BC">
        <w:fldChar w:fldCharType="begin"/>
      </w:r>
      <w:r w:rsidR="009A42BC">
        <w:instrText xml:space="preserve"> STYLEREF </w:instrText>
      </w:r>
      <w:r w:rsidR="009A42BC">
        <w:instrText xml:space="preserve">1 \s </w:instrText>
      </w:r>
      <w:r w:rsidR="009A42BC">
        <w:fldChar w:fldCharType="separate"/>
      </w:r>
      <w:r w:rsidR="00D14571">
        <w:rPr>
          <w:noProof/>
        </w:rPr>
        <w:t>3</w:t>
      </w:r>
      <w:r w:rsidR="009A42BC">
        <w:rPr>
          <w:noProof/>
        </w:rPr>
        <w:fldChar w:fldCharType="end"/>
      </w:r>
      <w:r w:rsidR="00D14571">
        <w:noBreakHyphen/>
      </w:r>
      <w:r w:rsidR="009A42BC">
        <w:fldChar w:fldCharType="begin"/>
      </w:r>
      <w:r w:rsidR="009A42BC">
        <w:instrText xml:space="preserve"> SEQ Tabel \* ARABIC \s 1 </w:instrText>
      </w:r>
      <w:r w:rsidR="009A42BC">
        <w:fldChar w:fldCharType="separate"/>
      </w:r>
      <w:r w:rsidR="00D14571">
        <w:rPr>
          <w:noProof/>
        </w:rPr>
        <w:t>1</w:t>
      </w:r>
      <w:r w:rsidR="009A42BC">
        <w:rPr>
          <w:noProof/>
        </w:rPr>
        <w:fldChar w:fldCharType="end"/>
      </w:r>
      <w:r>
        <w:t xml:space="preserve"> </w:t>
      </w:r>
      <w:r w:rsidR="00DB1FFD">
        <w:tab/>
      </w:r>
      <w:r>
        <w:t>Opdeling af personbiler efter størrelse</w:t>
      </w:r>
    </w:p>
    <w:tbl>
      <w:tblPr>
        <w:tblStyle w:val="GridTable5Dark-Accent31"/>
        <w:tblW w:w="0" w:type="auto"/>
        <w:tblLook w:val="04A0" w:firstRow="1" w:lastRow="0" w:firstColumn="1" w:lastColumn="0" w:noHBand="0" w:noVBand="1"/>
      </w:tblPr>
      <w:tblGrid>
        <w:gridCol w:w="1032"/>
        <w:gridCol w:w="2618"/>
        <w:gridCol w:w="1868"/>
        <w:gridCol w:w="1842"/>
      </w:tblGrid>
      <w:tr w:rsidR="00B2052C" w:rsidRPr="000C78BF" w14:paraId="185FE1C6" w14:textId="77777777" w:rsidTr="00B2052C">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032" w:type="dxa"/>
            <w:vAlign w:val="center"/>
          </w:tcPr>
          <w:p w14:paraId="1A83618C" w14:textId="77777777" w:rsidR="00B2052C" w:rsidRPr="000C78BF" w:rsidRDefault="00B2052C" w:rsidP="00F36A10">
            <w:pPr>
              <w:pStyle w:val="BodyText"/>
              <w:keepNext/>
              <w:rPr>
                <w:bCs w:val="0"/>
              </w:rPr>
            </w:pPr>
          </w:p>
        </w:tc>
        <w:tc>
          <w:tcPr>
            <w:tcW w:w="2618" w:type="dxa"/>
            <w:vAlign w:val="center"/>
            <w:hideMark/>
          </w:tcPr>
          <w:p w14:paraId="3D41F4DA" w14:textId="77777777" w:rsidR="00B2052C" w:rsidRDefault="00B2052C" w:rsidP="00F36A10">
            <w:pPr>
              <w:pStyle w:val="BodyText"/>
              <w:keepNext/>
              <w:cnfStyle w:val="100000000000" w:firstRow="1" w:lastRow="0" w:firstColumn="0" w:lastColumn="0" w:oddVBand="0" w:evenVBand="0" w:oddHBand="0" w:evenHBand="0" w:firstRowFirstColumn="0" w:firstRowLastColumn="0" w:lastRowFirstColumn="0" w:lastRowLastColumn="0"/>
            </w:pPr>
            <w:r>
              <w:t>Størrelse</w:t>
            </w:r>
          </w:p>
          <w:p w14:paraId="265B237E" w14:textId="77777777" w:rsidR="00B2052C" w:rsidRPr="000C78BF" w:rsidRDefault="00B2052C" w:rsidP="00F36A10">
            <w:pPr>
              <w:pStyle w:val="BodyText"/>
              <w:keepNext/>
              <w:cnfStyle w:val="100000000000" w:firstRow="1" w:lastRow="0" w:firstColumn="0" w:lastColumn="0" w:oddVBand="0" w:evenVBand="0" w:oddHBand="0" w:evenHBand="0" w:firstRowFirstColumn="0" w:firstRowLastColumn="0" w:lastRowFirstColumn="0" w:lastRowLastColumn="0"/>
            </w:pPr>
          </w:p>
        </w:tc>
        <w:tc>
          <w:tcPr>
            <w:tcW w:w="1868" w:type="dxa"/>
            <w:vAlign w:val="center"/>
            <w:hideMark/>
          </w:tcPr>
          <w:p w14:paraId="116D5984" w14:textId="77777777" w:rsidR="00B2052C" w:rsidRPr="000C78BF" w:rsidRDefault="00B2052C" w:rsidP="00F36A10">
            <w:pPr>
              <w:pStyle w:val="BodyText"/>
              <w:keepNext/>
              <w:cnfStyle w:val="100000000000" w:firstRow="1" w:lastRow="0" w:firstColumn="0" w:lastColumn="0" w:oddVBand="0" w:evenVBand="0" w:oddHBand="0" w:evenHBand="0" w:firstRowFirstColumn="0" w:firstRowLastColumn="0" w:lastRowFirstColumn="0" w:lastRowLastColumn="0"/>
            </w:pPr>
            <w:r w:rsidRPr="000C78BF">
              <w:t>Motorstørrelse</w:t>
            </w:r>
          </w:p>
        </w:tc>
        <w:tc>
          <w:tcPr>
            <w:tcW w:w="1842" w:type="dxa"/>
            <w:noWrap/>
            <w:vAlign w:val="center"/>
            <w:hideMark/>
          </w:tcPr>
          <w:p w14:paraId="2B0FCE08" w14:textId="77777777" w:rsidR="00B2052C" w:rsidRPr="000C78BF" w:rsidRDefault="00B2052C" w:rsidP="00F36A10">
            <w:pPr>
              <w:pStyle w:val="BodyText"/>
              <w:keepNext/>
              <w:cnfStyle w:val="100000000000" w:firstRow="1" w:lastRow="0" w:firstColumn="0" w:lastColumn="0" w:oddVBand="0" w:evenVBand="0" w:oddHBand="0" w:evenHBand="0" w:firstRowFirstColumn="0" w:firstRowLastColumn="0" w:lastRowFirstColumn="0" w:lastRowLastColumn="0"/>
            </w:pPr>
            <w:r w:rsidRPr="000C78BF">
              <w:t>Totalvægt</w:t>
            </w:r>
          </w:p>
        </w:tc>
      </w:tr>
      <w:tr w:rsidR="00B2052C" w:rsidRPr="000C78BF" w14:paraId="4845BE0C" w14:textId="77777777" w:rsidTr="00B2052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val="restart"/>
            <w:textDirection w:val="tbRl"/>
            <w:vAlign w:val="bottom"/>
          </w:tcPr>
          <w:p w14:paraId="31652CBE" w14:textId="77777777" w:rsidR="00B2052C" w:rsidRPr="000C78BF" w:rsidRDefault="00B2052C" w:rsidP="00F36A10">
            <w:pPr>
              <w:pStyle w:val="BodyText"/>
              <w:keepNext/>
              <w:ind w:left="113" w:right="113"/>
              <w:jc w:val="center"/>
            </w:pPr>
            <w:r>
              <w:t>Benzin</w:t>
            </w:r>
          </w:p>
        </w:tc>
        <w:tc>
          <w:tcPr>
            <w:tcW w:w="2618" w:type="dxa"/>
            <w:vAlign w:val="center"/>
            <w:hideMark/>
          </w:tcPr>
          <w:p w14:paraId="11723743" w14:textId="77777777" w:rsidR="00B2052C" w:rsidRPr="000C78BF" w:rsidRDefault="00B2052C" w:rsidP="00F36A10">
            <w:pPr>
              <w:pStyle w:val="BodyText"/>
              <w:keepNext/>
              <w:cnfStyle w:val="000000100000" w:firstRow="0" w:lastRow="0" w:firstColumn="0" w:lastColumn="0" w:oddVBand="0" w:evenVBand="0" w:oddHBand="1" w:evenHBand="0" w:firstRowFirstColumn="0" w:firstRowLastColumn="0" w:lastRowFirstColumn="0" w:lastRowLastColumn="0"/>
            </w:pPr>
            <w:r w:rsidRPr="000C78BF">
              <w:t>Mini</w:t>
            </w:r>
          </w:p>
        </w:tc>
        <w:tc>
          <w:tcPr>
            <w:tcW w:w="1868" w:type="dxa"/>
            <w:vAlign w:val="center"/>
            <w:hideMark/>
          </w:tcPr>
          <w:p w14:paraId="65BECEB1" w14:textId="623B442E" w:rsidR="00B2052C" w:rsidRPr="0036029A" w:rsidRDefault="00B2052C" w:rsidP="00F36A10">
            <w:pPr>
              <w:pStyle w:val="BodyText"/>
              <w:keepNext/>
              <w:jc w:val="center"/>
              <w:cnfStyle w:val="000000100000" w:firstRow="0" w:lastRow="0" w:firstColumn="0" w:lastColumn="0" w:oddVBand="0" w:evenVBand="0" w:oddHBand="1" w:evenHBand="0" w:firstRowFirstColumn="0" w:firstRowLastColumn="0" w:lastRowFirstColumn="0" w:lastRowLastColumn="0"/>
            </w:pPr>
            <w:r w:rsidRPr="0036029A">
              <w:t xml:space="preserve">&lt; </w:t>
            </w:r>
            <w:r w:rsidR="00851ADD" w:rsidRPr="0036029A">
              <w:t>1,4</w:t>
            </w:r>
            <w:r w:rsidRPr="0036029A">
              <w:t xml:space="preserve"> liter</w:t>
            </w:r>
          </w:p>
        </w:tc>
        <w:tc>
          <w:tcPr>
            <w:tcW w:w="1842" w:type="dxa"/>
            <w:noWrap/>
            <w:vAlign w:val="center"/>
            <w:hideMark/>
          </w:tcPr>
          <w:p w14:paraId="640C55D5" w14:textId="575A2AEC" w:rsidR="00B2052C" w:rsidRPr="000C78BF" w:rsidRDefault="00851ADD" w:rsidP="00F36A10">
            <w:pPr>
              <w:pStyle w:val="BodyText"/>
              <w:keepNext/>
              <w:jc w:val="center"/>
              <w:cnfStyle w:val="000000100000" w:firstRow="0" w:lastRow="0" w:firstColumn="0" w:lastColumn="0" w:oddVBand="0" w:evenVBand="0" w:oddHBand="1" w:evenHBand="0" w:firstRowFirstColumn="0" w:firstRowLastColumn="0" w:lastRowFirstColumn="0" w:lastRowLastColumn="0"/>
            </w:pPr>
            <w:r w:rsidRPr="0036029A">
              <w:t>&lt;= 13</w:t>
            </w:r>
            <w:r w:rsidR="008F6AF4" w:rsidRPr="0036029A">
              <w:t>2</w:t>
            </w:r>
            <w:r w:rsidRPr="0036029A">
              <w:t>0 kg</w:t>
            </w:r>
          </w:p>
        </w:tc>
      </w:tr>
      <w:tr w:rsidR="00B2052C" w:rsidRPr="000C78BF" w14:paraId="0CFF131A" w14:textId="77777777" w:rsidTr="00B2052C">
        <w:trPr>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textDirection w:val="tbRl"/>
            <w:vAlign w:val="bottom"/>
          </w:tcPr>
          <w:p w14:paraId="36989AE4" w14:textId="77777777" w:rsidR="00B2052C" w:rsidRPr="000C78BF" w:rsidRDefault="00B2052C" w:rsidP="00F36A10">
            <w:pPr>
              <w:pStyle w:val="BodyText"/>
              <w:keepNext/>
              <w:ind w:left="113" w:right="113"/>
              <w:jc w:val="center"/>
            </w:pPr>
          </w:p>
        </w:tc>
        <w:tc>
          <w:tcPr>
            <w:tcW w:w="2618" w:type="dxa"/>
            <w:vAlign w:val="center"/>
            <w:hideMark/>
          </w:tcPr>
          <w:p w14:paraId="177AF014" w14:textId="0099D63B" w:rsidR="00B2052C" w:rsidRPr="000C78BF" w:rsidRDefault="00B2052C" w:rsidP="00F36A10">
            <w:pPr>
              <w:pStyle w:val="BodyText"/>
              <w:keepNext/>
              <w:cnfStyle w:val="000000000000" w:firstRow="0" w:lastRow="0" w:firstColumn="0" w:lastColumn="0" w:oddVBand="0" w:evenVBand="0" w:oddHBand="0" w:evenHBand="0" w:firstRowFirstColumn="0" w:firstRowLastColumn="0" w:lastRowFirstColumn="0" w:lastRowLastColumn="0"/>
            </w:pPr>
          </w:p>
        </w:tc>
        <w:tc>
          <w:tcPr>
            <w:tcW w:w="1868" w:type="dxa"/>
            <w:vAlign w:val="center"/>
            <w:hideMark/>
          </w:tcPr>
          <w:p w14:paraId="6258DB2C" w14:textId="28BC43E4" w:rsidR="00B2052C" w:rsidRPr="0036029A" w:rsidRDefault="00B2052C" w:rsidP="00F36A10">
            <w:pPr>
              <w:pStyle w:val="BodyText"/>
              <w:keepNext/>
              <w:jc w:val="center"/>
              <w:cnfStyle w:val="000000000000" w:firstRow="0" w:lastRow="0" w:firstColumn="0" w:lastColumn="0" w:oddVBand="0" w:evenVBand="0" w:oddHBand="0" w:evenHBand="0" w:firstRowFirstColumn="0" w:firstRowLastColumn="0" w:lastRowFirstColumn="0" w:lastRowLastColumn="0"/>
            </w:pPr>
          </w:p>
        </w:tc>
        <w:tc>
          <w:tcPr>
            <w:tcW w:w="1842" w:type="dxa"/>
            <w:noWrap/>
            <w:vAlign w:val="center"/>
            <w:hideMark/>
          </w:tcPr>
          <w:p w14:paraId="05DD11C3" w14:textId="59854CFB" w:rsidR="00B2052C" w:rsidRPr="0036029A" w:rsidRDefault="00B2052C" w:rsidP="00F36A10">
            <w:pPr>
              <w:pStyle w:val="BodyText"/>
              <w:keepNext/>
              <w:jc w:val="center"/>
              <w:cnfStyle w:val="000000000000" w:firstRow="0" w:lastRow="0" w:firstColumn="0" w:lastColumn="0" w:oddVBand="0" w:evenVBand="0" w:oddHBand="0" w:evenHBand="0" w:firstRowFirstColumn="0" w:firstRowLastColumn="0" w:lastRowFirstColumn="0" w:lastRowLastColumn="0"/>
            </w:pPr>
          </w:p>
        </w:tc>
      </w:tr>
      <w:tr w:rsidR="00B2052C" w:rsidRPr="000C78BF" w14:paraId="09042FC3" w14:textId="77777777" w:rsidTr="00B2052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textDirection w:val="tbRl"/>
            <w:vAlign w:val="bottom"/>
          </w:tcPr>
          <w:p w14:paraId="308C74D5" w14:textId="77777777" w:rsidR="00B2052C" w:rsidRPr="000C78BF" w:rsidRDefault="00B2052C" w:rsidP="00F36A10">
            <w:pPr>
              <w:pStyle w:val="BodyText"/>
              <w:keepNext/>
              <w:ind w:left="113" w:right="113"/>
              <w:jc w:val="center"/>
            </w:pPr>
          </w:p>
        </w:tc>
        <w:tc>
          <w:tcPr>
            <w:tcW w:w="2618" w:type="dxa"/>
            <w:vAlign w:val="center"/>
            <w:hideMark/>
          </w:tcPr>
          <w:p w14:paraId="176AE58D" w14:textId="69E725A4" w:rsidR="00B2052C" w:rsidRPr="000C78BF" w:rsidRDefault="00B2052C" w:rsidP="00F36A10">
            <w:pPr>
              <w:pStyle w:val="BodyText"/>
              <w:keepNext/>
              <w:cnfStyle w:val="000000100000" w:firstRow="0" w:lastRow="0" w:firstColumn="0" w:lastColumn="0" w:oddVBand="0" w:evenVBand="0" w:oddHBand="1" w:evenHBand="0" w:firstRowFirstColumn="0" w:firstRowLastColumn="0" w:lastRowFirstColumn="0" w:lastRowLastColumn="0"/>
            </w:pPr>
            <w:r w:rsidRPr="0036029A">
              <w:t>Lille</w:t>
            </w:r>
          </w:p>
        </w:tc>
        <w:tc>
          <w:tcPr>
            <w:tcW w:w="1868" w:type="dxa"/>
            <w:vAlign w:val="center"/>
            <w:hideMark/>
          </w:tcPr>
          <w:p w14:paraId="7AF50159" w14:textId="77777777" w:rsidR="00B2052C" w:rsidRPr="0036029A" w:rsidRDefault="00B2052C" w:rsidP="00F36A10">
            <w:pPr>
              <w:pStyle w:val="BodyText"/>
              <w:keepNext/>
              <w:jc w:val="center"/>
              <w:cnfStyle w:val="000000100000" w:firstRow="0" w:lastRow="0" w:firstColumn="0" w:lastColumn="0" w:oddVBand="0" w:evenVBand="0" w:oddHBand="1" w:evenHBand="0" w:firstRowFirstColumn="0" w:firstRowLastColumn="0" w:lastRowFirstColumn="0" w:lastRowLastColumn="0"/>
            </w:pPr>
            <w:r w:rsidRPr="0036029A">
              <w:t>0,8 - 1,4 liter</w:t>
            </w:r>
          </w:p>
        </w:tc>
        <w:tc>
          <w:tcPr>
            <w:tcW w:w="1842" w:type="dxa"/>
            <w:noWrap/>
            <w:vAlign w:val="center"/>
            <w:hideMark/>
          </w:tcPr>
          <w:p w14:paraId="2441BD34" w14:textId="639BEEAD" w:rsidR="00B2052C" w:rsidRPr="0036029A" w:rsidRDefault="00B2052C" w:rsidP="00F36A10">
            <w:pPr>
              <w:pStyle w:val="BodyText"/>
              <w:keepNext/>
              <w:jc w:val="center"/>
              <w:cnfStyle w:val="000000100000" w:firstRow="0" w:lastRow="0" w:firstColumn="0" w:lastColumn="0" w:oddVBand="0" w:evenVBand="0" w:oddHBand="1" w:evenHBand="0" w:firstRowFirstColumn="0" w:firstRowLastColumn="0" w:lastRowFirstColumn="0" w:lastRowLastColumn="0"/>
            </w:pPr>
            <w:r w:rsidRPr="0036029A">
              <w:t>&gt; 1</w:t>
            </w:r>
            <w:r w:rsidR="00D85994">
              <w:t>.</w:t>
            </w:r>
            <w:r w:rsidRPr="0036029A">
              <w:t>3</w:t>
            </w:r>
            <w:r w:rsidR="00A97B78" w:rsidRPr="0036029A">
              <w:t>2</w:t>
            </w:r>
            <w:r w:rsidRPr="0036029A">
              <w:t>0 kg</w:t>
            </w:r>
          </w:p>
        </w:tc>
      </w:tr>
      <w:tr w:rsidR="00B2052C" w:rsidRPr="000C78BF" w14:paraId="117960A3" w14:textId="77777777" w:rsidTr="00B2052C">
        <w:trPr>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textDirection w:val="tbRl"/>
            <w:vAlign w:val="bottom"/>
          </w:tcPr>
          <w:p w14:paraId="00A90457" w14:textId="77777777" w:rsidR="00B2052C" w:rsidRPr="000C78BF" w:rsidRDefault="00B2052C" w:rsidP="00F36A10">
            <w:pPr>
              <w:pStyle w:val="BodyText"/>
              <w:keepNext/>
              <w:ind w:left="113" w:right="113"/>
              <w:jc w:val="center"/>
            </w:pPr>
          </w:p>
        </w:tc>
        <w:tc>
          <w:tcPr>
            <w:tcW w:w="2618" w:type="dxa"/>
            <w:vAlign w:val="center"/>
            <w:hideMark/>
          </w:tcPr>
          <w:p w14:paraId="6F182F6E" w14:textId="77777777" w:rsidR="00B2052C" w:rsidRPr="000C78BF" w:rsidRDefault="00B2052C" w:rsidP="00F36A10">
            <w:pPr>
              <w:pStyle w:val="BodyText"/>
              <w:keepNext/>
              <w:cnfStyle w:val="000000000000" w:firstRow="0" w:lastRow="0" w:firstColumn="0" w:lastColumn="0" w:oddVBand="0" w:evenVBand="0" w:oddHBand="0" w:evenHBand="0" w:firstRowFirstColumn="0" w:firstRowLastColumn="0" w:lastRowFirstColumn="0" w:lastRowLastColumn="0"/>
            </w:pPr>
            <w:r w:rsidRPr="000C78BF">
              <w:t>Mellem</w:t>
            </w:r>
          </w:p>
        </w:tc>
        <w:tc>
          <w:tcPr>
            <w:tcW w:w="1868" w:type="dxa"/>
            <w:vAlign w:val="center"/>
            <w:hideMark/>
          </w:tcPr>
          <w:p w14:paraId="0DE08727" w14:textId="77777777" w:rsidR="00B2052C" w:rsidRPr="0036029A" w:rsidRDefault="00B2052C" w:rsidP="00F36A10">
            <w:pPr>
              <w:pStyle w:val="BodyText"/>
              <w:keepNext/>
              <w:jc w:val="center"/>
              <w:cnfStyle w:val="000000000000" w:firstRow="0" w:lastRow="0" w:firstColumn="0" w:lastColumn="0" w:oddVBand="0" w:evenVBand="0" w:oddHBand="0" w:evenHBand="0" w:firstRowFirstColumn="0" w:firstRowLastColumn="0" w:lastRowFirstColumn="0" w:lastRowLastColumn="0"/>
            </w:pPr>
            <w:r w:rsidRPr="0036029A">
              <w:t>1,4 - 2,0 liter</w:t>
            </w:r>
          </w:p>
        </w:tc>
        <w:tc>
          <w:tcPr>
            <w:tcW w:w="1842" w:type="dxa"/>
            <w:noWrap/>
            <w:vAlign w:val="center"/>
            <w:hideMark/>
          </w:tcPr>
          <w:p w14:paraId="79AD894E" w14:textId="77777777" w:rsidR="00B2052C" w:rsidRPr="000C78BF" w:rsidRDefault="00B2052C" w:rsidP="00F36A10">
            <w:pPr>
              <w:pStyle w:val="BodyText"/>
              <w:keepNext/>
              <w:jc w:val="center"/>
              <w:cnfStyle w:val="000000000000" w:firstRow="0" w:lastRow="0" w:firstColumn="0" w:lastColumn="0" w:oddVBand="0" w:evenVBand="0" w:oddHBand="0" w:evenHBand="0" w:firstRowFirstColumn="0" w:firstRowLastColumn="0" w:lastRowFirstColumn="0" w:lastRowLastColumn="0"/>
            </w:pPr>
          </w:p>
        </w:tc>
      </w:tr>
      <w:tr w:rsidR="00B2052C" w:rsidRPr="000C78BF" w14:paraId="2007E685" w14:textId="77777777" w:rsidTr="00B2052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textDirection w:val="tbRl"/>
            <w:vAlign w:val="bottom"/>
          </w:tcPr>
          <w:p w14:paraId="787D04E2" w14:textId="77777777" w:rsidR="00B2052C" w:rsidRPr="000C78BF" w:rsidRDefault="00B2052C" w:rsidP="00F36A10">
            <w:pPr>
              <w:pStyle w:val="BodyText"/>
              <w:ind w:left="113" w:right="113"/>
              <w:jc w:val="center"/>
            </w:pPr>
          </w:p>
        </w:tc>
        <w:tc>
          <w:tcPr>
            <w:tcW w:w="2618" w:type="dxa"/>
            <w:vAlign w:val="center"/>
            <w:hideMark/>
          </w:tcPr>
          <w:p w14:paraId="6F3150BA" w14:textId="77777777" w:rsidR="00B2052C" w:rsidRPr="000C78BF" w:rsidRDefault="00B2052C" w:rsidP="00F36A10">
            <w:pPr>
              <w:pStyle w:val="BodyText"/>
              <w:cnfStyle w:val="000000100000" w:firstRow="0" w:lastRow="0" w:firstColumn="0" w:lastColumn="0" w:oddVBand="0" w:evenVBand="0" w:oddHBand="1" w:evenHBand="0" w:firstRowFirstColumn="0" w:firstRowLastColumn="0" w:lastRowFirstColumn="0" w:lastRowLastColumn="0"/>
            </w:pPr>
            <w:r w:rsidRPr="000C78BF">
              <w:t>Stor</w:t>
            </w:r>
          </w:p>
        </w:tc>
        <w:tc>
          <w:tcPr>
            <w:tcW w:w="1868" w:type="dxa"/>
            <w:vAlign w:val="center"/>
            <w:hideMark/>
          </w:tcPr>
          <w:p w14:paraId="51F2EEDF" w14:textId="77777777" w:rsidR="00B2052C" w:rsidRPr="0036029A" w:rsidRDefault="00B2052C"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36029A">
              <w:t>&gt; 2,0 liter</w:t>
            </w:r>
          </w:p>
        </w:tc>
        <w:tc>
          <w:tcPr>
            <w:tcW w:w="1842" w:type="dxa"/>
            <w:noWrap/>
            <w:vAlign w:val="center"/>
            <w:hideMark/>
          </w:tcPr>
          <w:p w14:paraId="6FC2D23A" w14:textId="77777777" w:rsidR="00B2052C" w:rsidRPr="000C78BF" w:rsidRDefault="00B2052C" w:rsidP="00F36A10">
            <w:pPr>
              <w:pStyle w:val="BodyText"/>
              <w:jc w:val="center"/>
              <w:cnfStyle w:val="000000100000" w:firstRow="0" w:lastRow="0" w:firstColumn="0" w:lastColumn="0" w:oddVBand="0" w:evenVBand="0" w:oddHBand="1" w:evenHBand="0" w:firstRowFirstColumn="0" w:firstRowLastColumn="0" w:lastRowFirstColumn="0" w:lastRowLastColumn="0"/>
            </w:pPr>
          </w:p>
        </w:tc>
      </w:tr>
      <w:tr w:rsidR="00B2052C" w:rsidRPr="000C78BF" w14:paraId="27764677" w14:textId="77777777" w:rsidTr="00B2052C">
        <w:trPr>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val="restart"/>
            <w:textDirection w:val="tbRl"/>
            <w:vAlign w:val="bottom"/>
          </w:tcPr>
          <w:p w14:paraId="6A234213" w14:textId="77777777" w:rsidR="00B2052C" w:rsidRPr="000C78BF" w:rsidRDefault="00B2052C" w:rsidP="00F36A10">
            <w:pPr>
              <w:pStyle w:val="BodyText"/>
              <w:ind w:left="113" w:right="113"/>
              <w:jc w:val="center"/>
            </w:pPr>
            <w:r>
              <w:t>Diesel</w:t>
            </w:r>
          </w:p>
        </w:tc>
        <w:tc>
          <w:tcPr>
            <w:tcW w:w="2618" w:type="dxa"/>
            <w:vAlign w:val="center"/>
            <w:hideMark/>
          </w:tcPr>
          <w:p w14:paraId="65AAB0DC" w14:textId="77777777" w:rsidR="00B2052C" w:rsidRPr="000C78BF" w:rsidRDefault="00B2052C" w:rsidP="00F36A10">
            <w:pPr>
              <w:pStyle w:val="BodyText"/>
              <w:cnfStyle w:val="000000000000" w:firstRow="0" w:lastRow="0" w:firstColumn="0" w:lastColumn="0" w:oddVBand="0" w:evenVBand="0" w:oddHBand="0" w:evenHBand="0" w:firstRowFirstColumn="0" w:firstRowLastColumn="0" w:lastRowFirstColumn="0" w:lastRowLastColumn="0"/>
            </w:pPr>
            <w:r w:rsidRPr="000C78BF">
              <w:t>Lille</w:t>
            </w:r>
          </w:p>
        </w:tc>
        <w:tc>
          <w:tcPr>
            <w:tcW w:w="1868" w:type="dxa"/>
            <w:vAlign w:val="center"/>
            <w:hideMark/>
          </w:tcPr>
          <w:p w14:paraId="604FDF95" w14:textId="77777777" w:rsidR="00B2052C" w:rsidRPr="0036029A" w:rsidRDefault="00B2052C"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36029A">
              <w:t>&lt; 1,4</w:t>
            </w:r>
          </w:p>
        </w:tc>
        <w:tc>
          <w:tcPr>
            <w:tcW w:w="1842" w:type="dxa"/>
            <w:noWrap/>
            <w:vAlign w:val="center"/>
            <w:hideMark/>
          </w:tcPr>
          <w:p w14:paraId="7341340A" w14:textId="427C7A77" w:rsidR="00B2052C" w:rsidRPr="000C78BF" w:rsidRDefault="00281C1E"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36029A">
              <w:t>&lt;= 1</w:t>
            </w:r>
            <w:r w:rsidR="00D85994">
              <w:t>.</w:t>
            </w:r>
            <w:r w:rsidRPr="0036029A">
              <w:t>320 kg</w:t>
            </w:r>
          </w:p>
        </w:tc>
      </w:tr>
      <w:tr w:rsidR="00B2052C" w:rsidRPr="000C78BF" w14:paraId="0F52C1F3" w14:textId="77777777" w:rsidTr="00B2052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tcPr>
          <w:p w14:paraId="7F7A0D2E" w14:textId="77777777" w:rsidR="00B2052C" w:rsidRPr="000C78BF" w:rsidRDefault="00B2052C" w:rsidP="00F36A10">
            <w:pPr>
              <w:pStyle w:val="BodyText"/>
            </w:pPr>
          </w:p>
        </w:tc>
        <w:tc>
          <w:tcPr>
            <w:tcW w:w="2618" w:type="dxa"/>
            <w:vAlign w:val="center"/>
            <w:hideMark/>
          </w:tcPr>
          <w:p w14:paraId="0858A8A2" w14:textId="77777777" w:rsidR="00B2052C" w:rsidRPr="000C78BF" w:rsidRDefault="00B2052C" w:rsidP="00F36A10">
            <w:pPr>
              <w:pStyle w:val="BodyText"/>
              <w:cnfStyle w:val="000000100000" w:firstRow="0" w:lastRow="0" w:firstColumn="0" w:lastColumn="0" w:oddVBand="0" w:evenVBand="0" w:oddHBand="1" w:evenHBand="0" w:firstRowFirstColumn="0" w:firstRowLastColumn="0" w:lastRowFirstColumn="0" w:lastRowLastColumn="0"/>
            </w:pPr>
            <w:r w:rsidRPr="000C78BF">
              <w:t>Mellem</w:t>
            </w:r>
          </w:p>
        </w:tc>
        <w:tc>
          <w:tcPr>
            <w:tcW w:w="1868" w:type="dxa"/>
            <w:vAlign w:val="center"/>
            <w:hideMark/>
          </w:tcPr>
          <w:p w14:paraId="4C49F956" w14:textId="03B9A67D" w:rsidR="00B2052C" w:rsidRPr="0036029A" w:rsidRDefault="00B2052C"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36029A">
              <w:t>1,4 - 2,0 liter</w:t>
            </w:r>
          </w:p>
        </w:tc>
        <w:tc>
          <w:tcPr>
            <w:tcW w:w="1842" w:type="dxa"/>
            <w:noWrap/>
            <w:vAlign w:val="center"/>
            <w:hideMark/>
          </w:tcPr>
          <w:p w14:paraId="4CEF31B5" w14:textId="050C433F" w:rsidR="00B2052C" w:rsidRPr="000C78BF" w:rsidRDefault="00281C1E"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36029A">
              <w:t>&gt; 1</w:t>
            </w:r>
            <w:r w:rsidR="00D85994">
              <w:t>.</w:t>
            </w:r>
            <w:r w:rsidRPr="0036029A">
              <w:t>320 kg</w:t>
            </w:r>
          </w:p>
        </w:tc>
      </w:tr>
      <w:tr w:rsidR="00B2052C" w:rsidRPr="000C78BF" w14:paraId="4FA7A56A" w14:textId="77777777" w:rsidTr="00B2052C">
        <w:trPr>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tcPr>
          <w:p w14:paraId="74E74EE8" w14:textId="77777777" w:rsidR="00B2052C" w:rsidRPr="000C78BF" w:rsidRDefault="00B2052C" w:rsidP="00F36A10">
            <w:pPr>
              <w:pStyle w:val="BodyText"/>
            </w:pPr>
          </w:p>
        </w:tc>
        <w:tc>
          <w:tcPr>
            <w:tcW w:w="2618" w:type="dxa"/>
            <w:vAlign w:val="center"/>
            <w:hideMark/>
          </w:tcPr>
          <w:p w14:paraId="6221DD3B" w14:textId="77777777" w:rsidR="00B2052C" w:rsidRDefault="00B2052C" w:rsidP="00F36A10">
            <w:pPr>
              <w:pStyle w:val="BodyText"/>
              <w:cnfStyle w:val="000000000000" w:firstRow="0" w:lastRow="0" w:firstColumn="0" w:lastColumn="0" w:oddVBand="0" w:evenVBand="0" w:oddHBand="0" w:evenHBand="0" w:firstRowFirstColumn="0" w:firstRowLastColumn="0" w:lastRowFirstColumn="0" w:lastRowLastColumn="0"/>
            </w:pPr>
            <w:r w:rsidRPr="000C78BF">
              <w:t>Stor</w:t>
            </w:r>
          </w:p>
          <w:p w14:paraId="68CB0CFF" w14:textId="2EF0ACCC" w:rsidR="00B2052C" w:rsidRPr="000C78BF" w:rsidRDefault="00B2052C" w:rsidP="00F36A10">
            <w:pPr>
              <w:pStyle w:val="BodyText"/>
              <w:cnfStyle w:val="000000000000" w:firstRow="0" w:lastRow="0" w:firstColumn="0" w:lastColumn="0" w:oddVBand="0" w:evenVBand="0" w:oddHBand="0" w:evenHBand="0" w:firstRowFirstColumn="0" w:firstRowLastColumn="0" w:lastRowFirstColumn="0" w:lastRowLastColumn="0"/>
            </w:pPr>
          </w:p>
        </w:tc>
        <w:tc>
          <w:tcPr>
            <w:tcW w:w="1868" w:type="dxa"/>
            <w:vAlign w:val="center"/>
            <w:hideMark/>
          </w:tcPr>
          <w:p w14:paraId="50BE7012" w14:textId="77777777" w:rsidR="00B2052C" w:rsidRPr="0036029A" w:rsidRDefault="00B2052C"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36029A">
              <w:t>&gt; 2,0 liter</w:t>
            </w:r>
          </w:p>
        </w:tc>
        <w:tc>
          <w:tcPr>
            <w:tcW w:w="1842" w:type="dxa"/>
            <w:noWrap/>
            <w:vAlign w:val="center"/>
            <w:hideMark/>
          </w:tcPr>
          <w:p w14:paraId="1EA9EB4E" w14:textId="77777777" w:rsidR="00B2052C" w:rsidRDefault="00B2052C" w:rsidP="00F36A10">
            <w:pPr>
              <w:pStyle w:val="BodyText"/>
              <w:jc w:val="center"/>
              <w:cnfStyle w:val="000000000000" w:firstRow="0" w:lastRow="0" w:firstColumn="0" w:lastColumn="0" w:oddVBand="0" w:evenVBand="0" w:oddHBand="0" w:evenHBand="0" w:firstRowFirstColumn="0" w:firstRowLastColumn="0" w:lastRowFirstColumn="0" w:lastRowLastColumn="0"/>
            </w:pPr>
          </w:p>
          <w:p w14:paraId="34DE4FC9" w14:textId="48311971" w:rsidR="00B2052C" w:rsidRPr="000C78BF" w:rsidRDefault="00B2052C" w:rsidP="00F36A10">
            <w:pPr>
              <w:pStyle w:val="BodyText"/>
              <w:jc w:val="center"/>
              <w:cnfStyle w:val="000000000000" w:firstRow="0" w:lastRow="0" w:firstColumn="0" w:lastColumn="0" w:oddVBand="0" w:evenVBand="0" w:oddHBand="0" w:evenHBand="0" w:firstRowFirstColumn="0" w:firstRowLastColumn="0" w:lastRowFirstColumn="0" w:lastRowLastColumn="0"/>
            </w:pPr>
          </w:p>
        </w:tc>
      </w:tr>
      <w:tr w:rsidR="00B2052C" w:rsidRPr="000C78BF" w14:paraId="15B14903" w14:textId="77777777" w:rsidTr="00B2052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val="restart"/>
            <w:textDirection w:val="tbRl"/>
          </w:tcPr>
          <w:p w14:paraId="540D7935" w14:textId="5E2D0A75" w:rsidR="00B2052C" w:rsidRPr="000C78BF" w:rsidRDefault="00B2052C" w:rsidP="00B2052C">
            <w:pPr>
              <w:pStyle w:val="BodyText"/>
              <w:ind w:left="113" w:right="113"/>
              <w:jc w:val="center"/>
            </w:pPr>
            <w:r>
              <w:t>Plug-in-hybrid</w:t>
            </w:r>
          </w:p>
        </w:tc>
        <w:tc>
          <w:tcPr>
            <w:tcW w:w="2618" w:type="dxa"/>
            <w:vAlign w:val="center"/>
          </w:tcPr>
          <w:p w14:paraId="23EFB90D" w14:textId="4F1714F9" w:rsidR="00B2052C" w:rsidRPr="000C78BF" w:rsidRDefault="00B2052C" w:rsidP="00B2052C">
            <w:pPr>
              <w:pStyle w:val="BodyText"/>
              <w:cnfStyle w:val="000000100000" w:firstRow="0" w:lastRow="0" w:firstColumn="0" w:lastColumn="0" w:oddVBand="0" w:evenVBand="0" w:oddHBand="1" w:evenHBand="0" w:firstRowFirstColumn="0" w:firstRowLastColumn="0" w:lastRowFirstColumn="0" w:lastRowLastColumn="0"/>
            </w:pPr>
            <w:r w:rsidRPr="000C78BF">
              <w:t>Lille</w:t>
            </w:r>
          </w:p>
        </w:tc>
        <w:tc>
          <w:tcPr>
            <w:tcW w:w="1868" w:type="dxa"/>
            <w:vAlign w:val="center"/>
          </w:tcPr>
          <w:p w14:paraId="3E9AF68C" w14:textId="4D0171F8" w:rsidR="00B2052C" w:rsidRPr="000C78BF" w:rsidRDefault="0036029A" w:rsidP="00B2052C">
            <w:pPr>
              <w:pStyle w:val="BodyText"/>
              <w:jc w:val="center"/>
              <w:cnfStyle w:val="000000100000" w:firstRow="0" w:lastRow="0" w:firstColumn="0" w:lastColumn="0" w:oddVBand="0" w:evenVBand="0" w:oddHBand="1" w:evenHBand="0" w:firstRowFirstColumn="0" w:firstRowLastColumn="0" w:lastRowFirstColumn="0" w:lastRowLastColumn="0"/>
            </w:pPr>
            <w:r w:rsidRPr="0036029A">
              <w:t>&lt; 1,4</w:t>
            </w:r>
          </w:p>
        </w:tc>
        <w:tc>
          <w:tcPr>
            <w:tcW w:w="1842" w:type="dxa"/>
            <w:noWrap/>
            <w:vAlign w:val="center"/>
          </w:tcPr>
          <w:p w14:paraId="59F135FE" w14:textId="15C16362" w:rsidR="00B2052C" w:rsidRDefault="0036029A" w:rsidP="00B2052C">
            <w:pPr>
              <w:pStyle w:val="BodyText"/>
              <w:jc w:val="center"/>
              <w:cnfStyle w:val="000000100000" w:firstRow="0" w:lastRow="0" w:firstColumn="0" w:lastColumn="0" w:oddVBand="0" w:evenVBand="0" w:oddHBand="1" w:evenHBand="0" w:firstRowFirstColumn="0" w:firstRowLastColumn="0" w:lastRowFirstColumn="0" w:lastRowLastColumn="0"/>
            </w:pPr>
            <w:r w:rsidRPr="0036029A">
              <w:t>&lt;= 1</w:t>
            </w:r>
            <w:r w:rsidR="00D85994">
              <w:t>.</w:t>
            </w:r>
            <w:r w:rsidRPr="0036029A">
              <w:t>320 kg</w:t>
            </w:r>
          </w:p>
        </w:tc>
      </w:tr>
      <w:tr w:rsidR="00B2052C" w:rsidRPr="000C78BF" w14:paraId="10227286" w14:textId="77777777" w:rsidTr="00B2052C">
        <w:trPr>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tcPr>
          <w:p w14:paraId="4D4AB59B" w14:textId="77777777" w:rsidR="00B2052C" w:rsidRPr="000C78BF" w:rsidRDefault="00B2052C" w:rsidP="00B2052C">
            <w:pPr>
              <w:pStyle w:val="BodyText"/>
            </w:pPr>
          </w:p>
        </w:tc>
        <w:tc>
          <w:tcPr>
            <w:tcW w:w="2618" w:type="dxa"/>
            <w:vAlign w:val="center"/>
          </w:tcPr>
          <w:p w14:paraId="4625DA05" w14:textId="438C77E3" w:rsidR="00B2052C" w:rsidRPr="000C78BF" w:rsidRDefault="00B2052C" w:rsidP="00B2052C">
            <w:pPr>
              <w:pStyle w:val="BodyText"/>
              <w:cnfStyle w:val="000000000000" w:firstRow="0" w:lastRow="0" w:firstColumn="0" w:lastColumn="0" w:oddVBand="0" w:evenVBand="0" w:oddHBand="0" w:evenHBand="0" w:firstRowFirstColumn="0" w:firstRowLastColumn="0" w:lastRowFirstColumn="0" w:lastRowLastColumn="0"/>
            </w:pPr>
            <w:r w:rsidRPr="000C78BF">
              <w:t>Mellem</w:t>
            </w:r>
          </w:p>
        </w:tc>
        <w:tc>
          <w:tcPr>
            <w:tcW w:w="1868" w:type="dxa"/>
            <w:vAlign w:val="center"/>
          </w:tcPr>
          <w:p w14:paraId="3529BC12" w14:textId="6140C13A" w:rsidR="00B2052C" w:rsidRPr="000C78BF" w:rsidRDefault="0036029A" w:rsidP="00B2052C">
            <w:pPr>
              <w:pStyle w:val="BodyText"/>
              <w:jc w:val="center"/>
              <w:cnfStyle w:val="000000000000" w:firstRow="0" w:lastRow="0" w:firstColumn="0" w:lastColumn="0" w:oddVBand="0" w:evenVBand="0" w:oddHBand="0" w:evenHBand="0" w:firstRowFirstColumn="0" w:firstRowLastColumn="0" w:lastRowFirstColumn="0" w:lastRowLastColumn="0"/>
            </w:pPr>
            <w:r w:rsidRPr="0036029A">
              <w:t>1,4 - 2,0 liter</w:t>
            </w:r>
          </w:p>
        </w:tc>
        <w:tc>
          <w:tcPr>
            <w:tcW w:w="1842" w:type="dxa"/>
            <w:noWrap/>
            <w:vAlign w:val="center"/>
          </w:tcPr>
          <w:p w14:paraId="1D20D89B" w14:textId="2E157DEE" w:rsidR="00B2052C" w:rsidRDefault="0036029A" w:rsidP="00B2052C">
            <w:pPr>
              <w:pStyle w:val="BodyText"/>
              <w:jc w:val="center"/>
              <w:cnfStyle w:val="000000000000" w:firstRow="0" w:lastRow="0" w:firstColumn="0" w:lastColumn="0" w:oddVBand="0" w:evenVBand="0" w:oddHBand="0" w:evenHBand="0" w:firstRowFirstColumn="0" w:firstRowLastColumn="0" w:lastRowFirstColumn="0" w:lastRowLastColumn="0"/>
            </w:pPr>
            <w:r w:rsidRPr="0036029A">
              <w:t>&gt; 1</w:t>
            </w:r>
            <w:r w:rsidR="00D85994">
              <w:t>.</w:t>
            </w:r>
            <w:r w:rsidRPr="0036029A">
              <w:t>320 kg</w:t>
            </w:r>
          </w:p>
        </w:tc>
      </w:tr>
      <w:tr w:rsidR="00B2052C" w:rsidRPr="000C78BF" w14:paraId="5B7FF9EC" w14:textId="77777777" w:rsidTr="00B2052C">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tcPr>
          <w:p w14:paraId="14904BB5" w14:textId="77777777" w:rsidR="00B2052C" w:rsidRPr="000C78BF" w:rsidRDefault="00B2052C" w:rsidP="00B2052C">
            <w:pPr>
              <w:pStyle w:val="BodyText"/>
            </w:pPr>
          </w:p>
        </w:tc>
        <w:tc>
          <w:tcPr>
            <w:tcW w:w="2618" w:type="dxa"/>
            <w:vAlign w:val="center"/>
          </w:tcPr>
          <w:p w14:paraId="7EE01AB9" w14:textId="77777777" w:rsidR="00B2052C" w:rsidRDefault="00B2052C" w:rsidP="00B2052C">
            <w:pPr>
              <w:pStyle w:val="BodyText"/>
              <w:cnfStyle w:val="000000100000" w:firstRow="0" w:lastRow="0" w:firstColumn="0" w:lastColumn="0" w:oddVBand="0" w:evenVBand="0" w:oddHBand="1" w:evenHBand="0" w:firstRowFirstColumn="0" w:firstRowLastColumn="0" w:lastRowFirstColumn="0" w:lastRowLastColumn="0"/>
            </w:pPr>
            <w:r w:rsidRPr="000C78BF">
              <w:t>Stor</w:t>
            </w:r>
          </w:p>
          <w:p w14:paraId="7EB52E19" w14:textId="77777777" w:rsidR="00B2052C" w:rsidRPr="000C78BF" w:rsidRDefault="00B2052C" w:rsidP="00B2052C">
            <w:pPr>
              <w:pStyle w:val="BodyText"/>
              <w:cnfStyle w:val="000000100000" w:firstRow="0" w:lastRow="0" w:firstColumn="0" w:lastColumn="0" w:oddVBand="0" w:evenVBand="0" w:oddHBand="1" w:evenHBand="0" w:firstRowFirstColumn="0" w:firstRowLastColumn="0" w:lastRowFirstColumn="0" w:lastRowLastColumn="0"/>
            </w:pPr>
          </w:p>
        </w:tc>
        <w:tc>
          <w:tcPr>
            <w:tcW w:w="1868" w:type="dxa"/>
            <w:vAlign w:val="center"/>
          </w:tcPr>
          <w:p w14:paraId="07B68300" w14:textId="27F43338" w:rsidR="00B2052C" w:rsidRPr="000C78BF" w:rsidRDefault="0036029A" w:rsidP="00B2052C">
            <w:pPr>
              <w:pStyle w:val="BodyText"/>
              <w:jc w:val="center"/>
              <w:cnfStyle w:val="000000100000" w:firstRow="0" w:lastRow="0" w:firstColumn="0" w:lastColumn="0" w:oddVBand="0" w:evenVBand="0" w:oddHBand="1" w:evenHBand="0" w:firstRowFirstColumn="0" w:firstRowLastColumn="0" w:lastRowFirstColumn="0" w:lastRowLastColumn="0"/>
            </w:pPr>
            <w:r w:rsidRPr="0036029A">
              <w:t>&gt; 2,0 liter</w:t>
            </w:r>
          </w:p>
        </w:tc>
        <w:tc>
          <w:tcPr>
            <w:tcW w:w="1842" w:type="dxa"/>
            <w:noWrap/>
            <w:vAlign w:val="center"/>
          </w:tcPr>
          <w:p w14:paraId="5E5DB8BE" w14:textId="77777777" w:rsidR="0036029A" w:rsidRPr="0036029A" w:rsidRDefault="0036029A" w:rsidP="0036029A">
            <w:pPr>
              <w:pStyle w:val="BodyText"/>
              <w:jc w:val="center"/>
              <w:cnfStyle w:val="000000100000" w:firstRow="0" w:lastRow="0" w:firstColumn="0" w:lastColumn="0" w:oddVBand="0" w:evenVBand="0" w:oddHBand="1" w:evenHBand="0" w:firstRowFirstColumn="0" w:firstRowLastColumn="0" w:lastRowFirstColumn="0" w:lastRowLastColumn="0"/>
            </w:pPr>
          </w:p>
          <w:p w14:paraId="7FCC4BAC" w14:textId="77777777" w:rsidR="00B2052C" w:rsidRDefault="00B2052C" w:rsidP="00B2052C">
            <w:pPr>
              <w:pStyle w:val="BodyText"/>
              <w:jc w:val="center"/>
              <w:cnfStyle w:val="000000100000" w:firstRow="0" w:lastRow="0" w:firstColumn="0" w:lastColumn="0" w:oddVBand="0" w:evenVBand="0" w:oddHBand="1" w:evenHBand="0" w:firstRowFirstColumn="0" w:firstRowLastColumn="0" w:lastRowFirstColumn="0" w:lastRowLastColumn="0"/>
            </w:pPr>
          </w:p>
        </w:tc>
      </w:tr>
      <w:tr w:rsidR="00B2052C" w:rsidRPr="000C78BF" w14:paraId="4B391F5E" w14:textId="77777777" w:rsidTr="00B2052C">
        <w:trPr>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val="restart"/>
            <w:textDirection w:val="tbRl"/>
          </w:tcPr>
          <w:p w14:paraId="57A3B710" w14:textId="423E41AB" w:rsidR="00B2052C" w:rsidRPr="000C78BF" w:rsidRDefault="00B2052C" w:rsidP="00B2052C">
            <w:pPr>
              <w:pStyle w:val="BodyText"/>
              <w:ind w:left="113" w:right="113"/>
              <w:jc w:val="center"/>
            </w:pPr>
            <w:r>
              <w:br/>
              <w:t>El</w:t>
            </w:r>
          </w:p>
        </w:tc>
        <w:tc>
          <w:tcPr>
            <w:tcW w:w="2618" w:type="dxa"/>
            <w:vAlign w:val="center"/>
          </w:tcPr>
          <w:p w14:paraId="3EB2C2F8" w14:textId="32D1FBA0" w:rsidR="00B2052C" w:rsidRPr="000C78BF" w:rsidRDefault="00B2052C" w:rsidP="00B2052C">
            <w:pPr>
              <w:pStyle w:val="BodyText"/>
              <w:cnfStyle w:val="000000000000" w:firstRow="0" w:lastRow="0" w:firstColumn="0" w:lastColumn="0" w:oddVBand="0" w:evenVBand="0" w:oddHBand="0" w:evenHBand="0" w:firstRowFirstColumn="0" w:firstRowLastColumn="0" w:lastRowFirstColumn="0" w:lastRowLastColumn="0"/>
            </w:pPr>
            <w:r w:rsidRPr="000C78BF">
              <w:t>Lille</w:t>
            </w:r>
          </w:p>
        </w:tc>
        <w:tc>
          <w:tcPr>
            <w:tcW w:w="1868" w:type="dxa"/>
            <w:vAlign w:val="center"/>
          </w:tcPr>
          <w:p w14:paraId="6AEE7BFB" w14:textId="77777777" w:rsidR="00B2052C" w:rsidRPr="000C78BF" w:rsidRDefault="00B2052C" w:rsidP="00B2052C">
            <w:pPr>
              <w:pStyle w:val="BodyText"/>
              <w:jc w:val="center"/>
              <w:cnfStyle w:val="000000000000" w:firstRow="0" w:lastRow="0" w:firstColumn="0" w:lastColumn="0" w:oddVBand="0" w:evenVBand="0" w:oddHBand="0" w:evenHBand="0" w:firstRowFirstColumn="0" w:firstRowLastColumn="0" w:lastRowFirstColumn="0" w:lastRowLastColumn="0"/>
            </w:pPr>
          </w:p>
        </w:tc>
        <w:tc>
          <w:tcPr>
            <w:tcW w:w="1842" w:type="dxa"/>
            <w:noWrap/>
            <w:vAlign w:val="center"/>
          </w:tcPr>
          <w:p w14:paraId="5A174EDB" w14:textId="204B180C" w:rsidR="00B2052C" w:rsidRDefault="001750D6" w:rsidP="00B2052C">
            <w:pPr>
              <w:pStyle w:val="BodyText"/>
              <w:jc w:val="center"/>
              <w:cnfStyle w:val="000000000000" w:firstRow="0" w:lastRow="0" w:firstColumn="0" w:lastColumn="0" w:oddVBand="0" w:evenVBand="0" w:oddHBand="0" w:evenHBand="0" w:firstRowFirstColumn="0" w:firstRowLastColumn="0" w:lastRowFirstColumn="0" w:lastRowLastColumn="0"/>
            </w:pPr>
            <w:r>
              <w:t>&lt;=</w:t>
            </w:r>
            <w:r w:rsidR="0036029A">
              <w:t>2</w:t>
            </w:r>
            <w:r w:rsidR="00D85994">
              <w:t>.</w:t>
            </w:r>
            <w:r w:rsidR="0036029A">
              <w:t>000</w:t>
            </w:r>
            <w:r>
              <w:t xml:space="preserve"> kg</w:t>
            </w:r>
          </w:p>
        </w:tc>
      </w:tr>
      <w:tr w:rsidR="00B2052C" w:rsidRPr="000C78BF" w14:paraId="5745B316" w14:textId="77777777" w:rsidTr="00A64F5D">
        <w:trPr>
          <w:cnfStyle w:val="000000100000" w:firstRow="0" w:lastRow="0" w:firstColumn="0" w:lastColumn="0" w:oddVBand="0" w:evenVBand="0" w:oddHBand="1" w:evenHBand="0" w:firstRowFirstColumn="0" w:firstRowLastColumn="0" w:lastRowFirstColumn="0" w:lastRowLastColumn="0"/>
          <w:trHeight w:hRule="exact" w:val="619"/>
        </w:trPr>
        <w:tc>
          <w:tcPr>
            <w:cnfStyle w:val="001000000000" w:firstRow="0" w:lastRow="0" w:firstColumn="1" w:lastColumn="0" w:oddVBand="0" w:evenVBand="0" w:oddHBand="0" w:evenHBand="0" w:firstRowFirstColumn="0" w:firstRowLastColumn="0" w:lastRowFirstColumn="0" w:lastRowLastColumn="0"/>
            <w:tcW w:w="1032" w:type="dxa"/>
            <w:vMerge/>
          </w:tcPr>
          <w:p w14:paraId="697543FE" w14:textId="77777777" w:rsidR="00B2052C" w:rsidRPr="000C78BF" w:rsidRDefault="00B2052C" w:rsidP="00B2052C">
            <w:pPr>
              <w:pStyle w:val="BodyText"/>
            </w:pPr>
          </w:p>
        </w:tc>
        <w:tc>
          <w:tcPr>
            <w:tcW w:w="2618" w:type="dxa"/>
            <w:vAlign w:val="center"/>
          </w:tcPr>
          <w:p w14:paraId="52BE6839" w14:textId="3CAF0297" w:rsidR="00B2052C" w:rsidRPr="000C78BF" w:rsidRDefault="00B2052C" w:rsidP="00B2052C">
            <w:pPr>
              <w:pStyle w:val="BodyText"/>
              <w:cnfStyle w:val="000000100000" w:firstRow="0" w:lastRow="0" w:firstColumn="0" w:lastColumn="0" w:oddVBand="0" w:evenVBand="0" w:oddHBand="1" w:evenHBand="0" w:firstRowFirstColumn="0" w:firstRowLastColumn="0" w:lastRowFirstColumn="0" w:lastRowLastColumn="0"/>
            </w:pPr>
            <w:r w:rsidRPr="000C78BF">
              <w:t>Mellem</w:t>
            </w:r>
          </w:p>
        </w:tc>
        <w:tc>
          <w:tcPr>
            <w:tcW w:w="1868" w:type="dxa"/>
            <w:vAlign w:val="center"/>
          </w:tcPr>
          <w:p w14:paraId="6DB143B2" w14:textId="77777777" w:rsidR="00B2052C" w:rsidRPr="000C78BF" w:rsidRDefault="00B2052C" w:rsidP="00B2052C">
            <w:pPr>
              <w:pStyle w:val="BodyText"/>
              <w:jc w:val="center"/>
              <w:cnfStyle w:val="000000100000" w:firstRow="0" w:lastRow="0" w:firstColumn="0" w:lastColumn="0" w:oddVBand="0" w:evenVBand="0" w:oddHBand="1" w:evenHBand="0" w:firstRowFirstColumn="0" w:firstRowLastColumn="0" w:lastRowFirstColumn="0" w:lastRowLastColumn="0"/>
            </w:pPr>
          </w:p>
        </w:tc>
        <w:tc>
          <w:tcPr>
            <w:tcW w:w="1842" w:type="dxa"/>
            <w:noWrap/>
            <w:vAlign w:val="center"/>
          </w:tcPr>
          <w:p w14:paraId="6ACA314F" w14:textId="6ACF4919" w:rsidR="00B2052C" w:rsidRDefault="0036029A" w:rsidP="00B2052C">
            <w:pPr>
              <w:pStyle w:val="BodyText"/>
              <w:jc w:val="center"/>
              <w:cnfStyle w:val="000000100000" w:firstRow="0" w:lastRow="0" w:firstColumn="0" w:lastColumn="0" w:oddVBand="0" w:evenVBand="0" w:oddHBand="1" w:evenHBand="0" w:firstRowFirstColumn="0" w:firstRowLastColumn="0" w:lastRowFirstColumn="0" w:lastRowLastColumn="0"/>
            </w:pPr>
            <w:r>
              <w:t>2</w:t>
            </w:r>
            <w:r w:rsidR="00D85994">
              <w:t>.</w:t>
            </w:r>
            <w:r>
              <w:t xml:space="preserve">000 </w:t>
            </w:r>
            <w:r w:rsidR="00D85994">
              <w:t xml:space="preserve">– </w:t>
            </w:r>
            <w:r>
              <w:t>2</w:t>
            </w:r>
            <w:r w:rsidR="00D85994">
              <w:t>.</w:t>
            </w:r>
            <w:r>
              <w:t>500 kg</w:t>
            </w:r>
          </w:p>
          <w:p w14:paraId="102E7972" w14:textId="77777777" w:rsidR="00A24DAE" w:rsidRDefault="00A24DAE" w:rsidP="00B2052C">
            <w:pPr>
              <w:pStyle w:val="BodyText"/>
              <w:jc w:val="center"/>
              <w:cnfStyle w:val="000000100000" w:firstRow="0" w:lastRow="0" w:firstColumn="0" w:lastColumn="0" w:oddVBand="0" w:evenVBand="0" w:oddHBand="1" w:evenHBand="0" w:firstRowFirstColumn="0" w:firstRowLastColumn="0" w:lastRowFirstColumn="0" w:lastRowLastColumn="0"/>
            </w:pPr>
          </w:p>
          <w:p w14:paraId="2032D716" w14:textId="77777777" w:rsidR="00A24DAE" w:rsidRDefault="00A24DAE" w:rsidP="00B2052C">
            <w:pPr>
              <w:pStyle w:val="BodyText"/>
              <w:jc w:val="center"/>
              <w:cnfStyle w:val="000000100000" w:firstRow="0" w:lastRow="0" w:firstColumn="0" w:lastColumn="0" w:oddVBand="0" w:evenVBand="0" w:oddHBand="1" w:evenHBand="0" w:firstRowFirstColumn="0" w:firstRowLastColumn="0" w:lastRowFirstColumn="0" w:lastRowLastColumn="0"/>
            </w:pPr>
          </w:p>
          <w:p w14:paraId="447F0092" w14:textId="5621D3E1" w:rsidR="00B2052C" w:rsidRDefault="00B2052C" w:rsidP="00B2052C">
            <w:pPr>
              <w:pStyle w:val="BodyText"/>
              <w:jc w:val="center"/>
              <w:cnfStyle w:val="000000100000" w:firstRow="0" w:lastRow="0" w:firstColumn="0" w:lastColumn="0" w:oddVBand="0" w:evenVBand="0" w:oddHBand="1" w:evenHBand="0" w:firstRowFirstColumn="0" w:firstRowLastColumn="0" w:lastRowFirstColumn="0" w:lastRowLastColumn="0"/>
            </w:pPr>
          </w:p>
        </w:tc>
      </w:tr>
      <w:tr w:rsidR="00B2052C" w:rsidRPr="000C78BF" w14:paraId="1A8A050A" w14:textId="77777777" w:rsidTr="00B2052C">
        <w:trPr>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tcPr>
          <w:p w14:paraId="27F428DD" w14:textId="77777777" w:rsidR="00B2052C" w:rsidRPr="000C78BF" w:rsidRDefault="00B2052C" w:rsidP="00B2052C">
            <w:pPr>
              <w:pStyle w:val="BodyText"/>
            </w:pPr>
          </w:p>
        </w:tc>
        <w:tc>
          <w:tcPr>
            <w:tcW w:w="2618" w:type="dxa"/>
            <w:vAlign w:val="center"/>
          </w:tcPr>
          <w:p w14:paraId="2103300D" w14:textId="77777777" w:rsidR="00B2052C" w:rsidRDefault="00B2052C" w:rsidP="00B2052C">
            <w:pPr>
              <w:pStyle w:val="BodyText"/>
              <w:cnfStyle w:val="000000000000" w:firstRow="0" w:lastRow="0" w:firstColumn="0" w:lastColumn="0" w:oddVBand="0" w:evenVBand="0" w:oddHBand="0" w:evenHBand="0" w:firstRowFirstColumn="0" w:firstRowLastColumn="0" w:lastRowFirstColumn="0" w:lastRowLastColumn="0"/>
            </w:pPr>
            <w:r w:rsidRPr="000C78BF">
              <w:t>Stor</w:t>
            </w:r>
          </w:p>
          <w:p w14:paraId="5CD05FE7" w14:textId="77777777" w:rsidR="00B2052C" w:rsidRPr="000C78BF" w:rsidRDefault="00B2052C" w:rsidP="00B2052C">
            <w:pPr>
              <w:pStyle w:val="BodyText"/>
              <w:cnfStyle w:val="000000000000" w:firstRow="0" w:lastRow="0" w:firstColumn="0" w:lastColumn="0" w:oddVBand="0" w:evenVBand="0" w:oddHBand="0" w:evenHBand="0" w:firstRowFirstColumn="0" w:firstRowLastColumn="0" w:lastRowFirstColumn="0" w:lastRowLastColumn="0"/>
            </w:pPr>
          </w:p>
        </w:tc>
        <w:tc>
          <w:tcPr>
            <w:tcW w:w="1868" w:type="dxa"/>
            <w:vAlign w:val="center"/>
          </w:tcPr>
          <w:p w14:paraId="40FC14E8" w14:textId="77777777" w:rsidR="00B2052C" w:rsidRPr="000C78BF" w:rsidRDefault="00B2052C" w:rsidP="00B2052C">
            <w:pPr>
              <w:pStyle w:val="BodyText"/>
              <w:jc w:val="center"/>
              <w:cnfStyle w:val="000000000000" w:firstRow="0" w:lastRow="0" w:firstColumn="0" w:lastColumn="0" w:oddVBand="0" w:evenVBand="0" w:oddHBand="0" w:evenHBand="0" w:firstRowFirstColumn="0" w:firstRowLastColumn="0" w:lastRowFirstColumn="0" w:lastRowLastColumn="0"/>
            </w:pPr>
          </w:p>
        </w:tc>
        <w:tc>
          <w:tcPr>
            <w:tcW w:w="1842" w:type="dxa"/>
            <w:noWrap/>
            <w:vAlign w:val="center"/>
          </w:tcPr>
          <w:p w14:paraId="21BAE904" w14:textId="06F92D4A" w:rsidR="00B2052C" w:rsidRDefault="0036029A" w:rsidP="00B2052C">
            <w:pPr>
              <w:pStyle w:val="BodyText"/>
              <w:jc w:val="center"/>
              <w:cnfStyle w:val="000000000000" w:firstRow="0" w:lastRow="0" w:firstColumn="0" w:lastColumn="0" w:oddVBand="0" w:evenVBand="0" w:oddHBand="0" w:evenHBand="0" w:firstRowFirstColumn="0" w:firstRowLastColumn="0" w:lastRowFirstColumn="0" w:lastRowLastColumn="0"/>
            </w:pPr>
            <w:r>
              <w:t>&gt; 2</w:t>
            </w:r>
            <w:r w:rsidR="00D85994">
              <w:t>.</w:t>
            </w:r>
            <w:r>
              <w:t>500 kg</w:t>
            </w:r>
          </w:p>
        </w:tc>
      </w:tr>
    </w:tbl>
    <w:p w14:paraId="27F0F6AB" w14:textId="77777777" w:rsidR="00B2052C" w:rsidRDefault="00B2052C" w:rsidP="00B2052C">
      <w:pPr>
        <w:pStyle w:val="BodyText"/>
      </w:pPr>
    </w:p>
    <w:p w14:paraId="23D85603" w14:textId="23EC8B94" w:rsidR="00B2052C" w:rsidRDefault="00B2052C" w:rsidP="00B2052C">
      <w:pPr>
        <w:pStyle w:val="BodyText"/>
      </w:pPr>
      <w:r>
        <w:t>Denne opdeling er valgt for at adskille de meget populære små biler i de to mest hyppige segmenter</w:t>
      </w:r>
      <w:r w:rsidRPr="004A0203">
        <w:t xml:space="preserve">. I kategorien </w:t>
      </w:r>
      <w:r w:rsidR="006900FE" w:rsidRPr="004A0203">
        <w:t>mini</w:t>
      </w:r>
      <w:r w:rsidRPr="004A0203">
        <w:t xml:space="preserve"> </w:t>
      </w:r>
      <w:r w:rsidR="005043C0">
        <w:t xml:space="preserve">under 1320 kr. </w:t>
      </w:r>
      <w:r w:rsidRPr="004A0203">
        <w:t xml:space="preserve">findes for eksempel Citroen C1, Toyota </w:t>
      </w:r>
      <w:proofErr w:type="spellStart"/>
      <w:r w:rsidRPr="004A0203">
        <w:t>A</w:t>
      </w:r>
      <w:r w:rsidR="008F13FD">
        <w:t>y</w:t>
      </w:r>
      <w:r w:rsidRPr="004A0203">
        <w:t>go</w:t>
      </w:r>
      <w:proofErr w:type="spellEnd"/>
      <w:r w:rsidRPr="004A0203">
        <w:t xml:space="preserve">, Peugeot 107, VW Up og Skoda </w:t>
      </w:r>
      <w:proofErr w:type="spellStart"/>
      <w:r w:rsidRPr="004A0203">
        <w:t>Cit</w:t>
      </w:r>
      <w:r w:rsidR="00291568">
        <w:t>i</w:t>
      </w:r>
      <w:r w:rsidRPr="004A0203">
        <w:t>go</w:t>
      </w:r>
      <w:proofErr w:type="spellEnd"/>
      <w:r w:rsidRPr="004A0203">
        <w:t>. I Kategorien Lille over 13</w:t>
      </w:r>
      <w:r w:rsidR="00FE179F" w:rsidRPr="004A0203">
        <w:t>2</w:t>
      </w:r>
      <w:r w:rsidRPr="004A0203">
        <w:t xml:space="preserve">0 kg egenvægt finder vi fx. Peugeot 207, Toyota </w:t>
      </w:r>
      <w:proofErr w:type="spellStart"/>
      <w:r w:rsidRPr="004A0203">
        <w:t>Yaris</w:t>
      </w:r>
      <w:proofErr w:type="spellEnd"/>
      <w:r w:rsidRPr="004A0203">
        <w:t xml:space="preserve"> og Citroen C3.</w:t>
      </w:r>
    </w:p>
    <w:p w14:paraId="3D688589" w14:textId="77777777" w:rsidR="00B2052C" w:rsidRDefault="00B2052C" w:rsidP="00B2052C">
      <w:pPr>
        <w:pStyle w:val="BodyText"/>
      </w:pPr>
      <w:r>
        <w:lastRenderedPageBreak/>
        <w:t>For varebiler er opdelingen hovedsagelig baseret på brændstof og totalvægt. Opdelingen på totalvægt følger opdelingen fra Danmarks statistik.</w:t>
      </w:r>
    </w:p>
    <w:p w14:paraId="6DD7A771" w14:textId="00BB46D9" w:rsidR="00B2052C" w:rsidRDefault="00B2052C" w:rsidP="00DB1FFD">
      <w:pPr>
        <w:pStyle w:val="Caption"/>
        <w:keepNext/>
        <w:keepLines/>
      </w:pPr>
      <w:r>
        <w:t xml:space="preserve">Tabel </w:t>
      </w:r>
      <w:r w:rsidR="009A42BC">
        <w:fldChar w:fldCharType="begin"/>
      </w:r>
      <w:r w:rsidR="009A42BC">
        <w:instrText xml:space="preserve"> STYLEREF 1 \s </w:instrText>
      </w:r>
      <w:r w:rsidR="009A42BC">
        <w:fldChar w:fldCharType="separate"/>
      </w:r>
      <w:r w:rsidR="00D14571">
        <w:rPr>
          <w:noProof/>
        </w:rPr>
        <w:t>3</w:t>
      </w:r>
      <w:r w:rsidR="009A42BC">
        <w:rPr>
          <w:noProof/>
        </w:rPr>
        <w:fldChar w:fldCharType="end"/>
      </w:r>
      <w:r w:rsidR="00D14571">
        <w:noBreakHyphen/>
      </w:r>
      <w:r w:rsidR="009A42BC">
        <w:fldChar w:fldCharType="begin"/>
      </w:r>
      <w:r w:rsidR="009A42BC">
        <w:instrText xml:space="preserve"> SEQ Tabel \* ARABIC \s 1 </w:instrText>
      </w:r>
      <w:r w:rsidR="009A42BC">
        <w:fldChar w:fldCharType="separate"/>
      </w:r>
      <w:r w:rsidR="00D14571">
        <w:rPr>
          <w:noProof/>
        </w:rPr>
        <w:t>2</w:t>
      </w:r>
      <w:r w:rsidR="009A42BC">
        <w:rPr>
          <w:noProof/>
        </w:rPr>
        <w:fldChar w:fldCharType="end"/>
      </w:r>
      <w:r>
        <w:t xml:space="preserve"> </w:t>
      </w:r>
      <w:r w:rsidR="00DB1FFD">
        <w:tab/>
      </w:r>
      <w:r>
        <w:t>Opdeling af varebiler efter størrelse</w:t>
      </w:r>
    </w:p>
    <w:tbl>
      <w:tblPr>
        <w:tblStyle w:val="GridTable5Dark-Accent31"/>
        <w:tblW w:w="7621" w:type="dxa"/>
        <w:tblLook w:val="04A0" w:firstRow="1" w:lastRow="0" w:firstColumn="1" w:lastColumn="0" w:noHBand="0" w:noVBand="1"/>
      </w:tblPr>
      <w:tblGrid>
        <w:gridCol w:w="1032"/>
        <w:gridCol w:w="4746"/>
        <w:gridCol w:w="1843"/>
      </w:tblGrid>
      <w:tr w:rsidR="00B2052C" w:rsidRPr="000C78BF" w14:paraId="57063E92" w14:textId="77777777" w:rsidTr="000708D5">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032" w:type="dxa"/>
            <w:vAlign w:val="center"/>
          </w:tcPr>
          <w:p w14:paraId="053F8F9E" w14:textId="77777777" w:rsidR="00B2052C" w:rsidRPr="000C78BF" w:rsidRDefault="00B2052C" w:rsidP="00DB1FFD">
            <w:pPr>
              <w:pStyle w:val="BodyText"/>
              <w:keepNext/>
              <w:keepLines/>
              <w:rPr>
                <w:bCs w:val="0"/>
              </w:rPr>
            </w:pPr>
          </w:p>
        </w:tc>
        <w:tc>
          <w:tcPr>
            <w:tcW w:w="4746" w:type="dxa"/>
            <w:vAlign w:val="center"/>
            <w:hideMark/>
          </w:tcPr>
          <w:p w14:paraId="727553B9" w14:textId="77777777" w:rsidR="00B2052C" w:rsidRDefault="00B2052C" w:rsidP="00DB1FFD">
            <w:pPr>
              <w:pStyle w:val="BodyText"/>
              <w:keepNext/>
              <w:keepLines/>
              <w:cnfStyle w:val="100000000000" w:firstRow="1" w:lastRow="0" w:firstColumn="0" w:lastColumn="0" w:oddVBand="0" w:evenVBand="0" w:oddHBand="0" w:evenHBand="0" w:firstRowFirstColumn="0" w:firstRowLastColumn="0" w:lastRowFirstColumn="0" w:lastRowLastColumn="0"/>
            </w:pPr>
            <w:r>
              <w:t>Størrelse</w:t>
            </w:r>
          </w:p>
          <w:p w14:paraId="1A19CA4F" w14:textId="77777777" w:rsidR="00B2052C" w:rsidRPr="000C78BF" w:rsidRDefault="00B2052C" w:rsidP="00DB1FFD">
            <w:pPr>
              <w:pStyle w:val="BodyText"/>
              <w:keepNext/>
              <w:keepLines/>
              <w:cnfStyle w:val="100000000000" w:firstRow="1" w:lastRow="0" w:firstColumn="0" w:lastColumn="0" w:oddVBand="0" w:evenVBand="0" w:oddHBand="0" w:evenHBand="0" w:firstRowFirstColumn="0" w:firstRowLastColumn="0" w:lastRowFirstColumn="0" w:lastRowLastColumn="0"/>
            </w:pPr>
          </w:p>
        </w:tc>
        <w:tc>
          <w:tcPr>
            <w:tcW w:w="1843" w:type="dxa"/>
            <w:noWrap/>
            <w:vAlign w:val="center"/>
            <w:hideMark/>
          </w:tcPr>
          <w:p w14:paraId="6A72F3F7" w14:textId="77777777" w:rsidR="00B2052C" w:rsidRPr="000C78BF" w:rsidRDefault="00B2052C" w:rsidP="00DB1FFD">
            <w:pPr>
              <w:pStyle w:val="BodyText"/>
              <w:keepNext/>
              <w:keepLines/>
              <w:cnfStyle w:val="100000000000" w:firstRow="1" w:lastRow="0" w:firstColumn="0" w:lastColumn="0" w:oddVBand="0" w:evenVBand="0" w:oddHBand="0" w:evenHBand="0" w:firstRowFirstColumn="0" w:firstRowLastColumn="0" w:lastRowFirstColumn="0" w:lastRowLastColumn="0"/>
            </w:pPr>
            <w:r>
              <w:t>Tilladt t</w:t>
            </w:r>
            <w:r w:rsidRPr="000C78BF">
              <w:t>otalvægt</w:t>
            </w:r>
          </w:p>
        </w:tc>
      </w:tr>
      <w:tr w:rsidR="00B2052C" w:rsidRPr="000C78BF" w14:paraId="2C52D4F0" w14:textId="77777777" w:rsidTr="000708D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val="restart"/>
            <w:textDirection w:val="tbRl"/>
            <w:vAlign w:val="bottom"/>
          </w:tcPr>
          <w:p w14:paraId="259B39D6" w14:textId="77777777" w:rsidR="00B2052C" w:rsidRPr="000C78BF" w:rsidRDefault="00B2052C" w:rsidP="00DB1FFD">
            <w:pPr>
              <w:pStyle w:val="BodyText"/>
              <w:keepNext/>
              <w:keepLines/>
              <w:ind w:left="113" w:right="113"/>
              <w:jc w:val="center"/>
            </w:pPr>
            <w:r>
              <w:t>Benzin</w:t>
            </w:r>
          </w:p>
        </w:tc>
        <w:tc>
          <w:tcPr>
            <w:tcW w:w="4746" w:type="dxa"/>
            <w:vAlign w:val="center"/>
            <w:hideMark/>
          </w:tcPr>
          <w:p w14:paraId="4F069591" w14:textId="796BF211" w:rsidR="00B2052C" w:rsidRPr="000C78BF" w:rsidRDefault="00B2052C" w:rsidP="00DB1FFD">
            <w:pPr>
              <w:pStyle w:val="BodyText"/>
              <w:keepNext/>
              <w:keepLines/>
              <w:cnfStyle w:val="000000100000" w:firstRow="0" w:lastRow="0" w:firstColumn="0" w:lastColumn="0" w:oddVBand="0" w:evenVBand="0" w:oddHBand="1" w:evenHBand="0" w:firstRowFirstColumn="0" w:firstRowLastColumn="0" w:lastRowFirstColumn="0" w:lastRowLastColumn="0"/>
            </w:pPr>
            <w:r w:rsidRPr="000C78BF">
              <w:t xml:space="preserve">Lille </w:t>
            </w:r>
          </w:p>
        </w:tc>
        <w:tc>
          <w:tcPr>
            <w:tcW w:w="1843" w:type="dxa"/>
            <w:noWrap/>
            <w:vAlign w:val="center"/>
            <w:hideMark/>
          </w:tcPr>
          <w:p w14:paraId="4AA4B8D0" w14:textId="77777777" w:rsidR="00B2052C" w:rsidRPr="00D85994" w:rsidRDefault="00B2052C" w:rsidP="00DB1FFD">
            <w:pPr>
              <w:pStyle w:val="BodyText"/>
              <w:keepNext/>
              <w:keepLines/>
              <w:jc w:val="center"/>
              <w:cnfStyle w:val="000000100000" w:firstRow="0" w:lastRow="0" w:firstColumn="0" w:lastColumn="0" w:oddVBand="0" w:evenVBand="0" w:oddHBand="1" w:evenHBand="0" w:firstRowFirstColumn="0" w:firstRowLastColumn="0" w:lastRowFirstColumn="0" w:lastRowLastColumn="0"/>
            </w:pPr>
            <w:r w:rsidRPr="00D85994">
              <w:t>&lt;= 2000 kg</w:t>
            </w:r>
          </w:p>
        </w:tc>
      </w:tr>
      <w:tr w:rsidR="00B2052C" w:rsidRPr="000C78BF" w14:paraId="42707B8E" w14:textId="77777777" w:rsidTr="000708D5">
        <w:trPr>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textDirection w:val="tbRl"/>
            <w:vAlign w:val="bottom"/>
          </w:tcPr>
          <w:p w14:paraId="00BFB8B5" w14:textId="77777777" w:rsidR="00B2052C" w:rsidRPr="000C78BF" w:rsidRDefault="00B2052C" w:rsidP="00DB1FFD">
            <w:pPr>
              <w:pStyle w:val="BodyText"/>
              <w:keepNext/>
              <w:keepLines/>
              <w:ind w:left="113" w:right="113"/>
              <w:jc w:val="center"/>
            </w:pPr>
          </w:p>
        </w:tc>
        <w:tc>
          <w:tcPr>
            <w:tcW w:w="4746" w:type="dxa"/>
            <w:vAlign w:val="center"/>
            <w:hideMark/>
          </w:tcPr>
          <w:p w14:paraId="561DB019" w14:textId="77777777" w:rsidR="00B2052C" w:rsidRPr="000C78BF" w:rsidRDefault="00B2052C" w:rsidP="00DB1FFD">
            <w:pPr>
              <w:pStyle w:val="BodyText"/>
              <w:keepNext/>
              <w:keepLines/>
              <w:cnfStyle w:val="000000000000" w:firstRow="0" w:lastRow="0" w:firstColumn="0" w:lastColumn="0" w:oddVBand="0" w:evenVBand="0" w:oddHBand="0" w:evenHBand="0" w:firstRowFirstColumn="0" w:firstRowLastColumn="0" w:lastRowFirstColumn="0" w:lastRowLastColumn="0"/>
            </w:pPr>
            <w:r w:rsidRPr="000C78BF">
              <w:t>Mellem</w:t>
            </w:r>
          </w:p>
        </w:tc>
        <w:tc>
          <w:tcPr>
            <w:tcW w:w="1843" w:type="dxa"/>
            <w:noWrap/>
            <w:vAlign w:val="center"/>
            <w:hideMark/>
          </w:tcPr>
          <w:p w14:paraId="4BF99FB3" w14:textId="77777777" w:rsidR="00B2052C" w:rsidRPr="00D85994" w:rsidRDefault="00B2052C" w:rsidP="00DB1FFD">
            <w:pPr>
              <w:pStyle w:val="BodyText"/>
              <w:keepNext/>
              <w:keepLines/>
              <w:jc w:val="center"/>
              <w:cnfStyle w:val="000000000000" w:firstRow="0" w:lastRow="0" w:firstColumn="0" w:lastColumn="0" w:oddVBand="0" w:evenVBand="0" w:oddHBand="0" w:evenHBand="0" w:firstRowFirstColumn="0" w:firstRowLastColumn="0" w:lastRowFirstColumn="0" w:lastRowLastColumn="0"/>
            </w:pPr>
            <w:r w:rsidRPr="00D85994">
              <w:t>2000 – 3000 kg</w:t>
            </w:r>
          </w:p>
        </w:tc>
      </w:tr>
      <w:tr w:rsidR="00B2052C" w:rsidRPr="000C78BF" w14:paraId="5FE81260" w14:textId="77777777" w:rsidTr="000708D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textDirection w:val="tbRl"/>
            <w:vAlign w:val="bottom"/>
          </w:tcPr>
          <w:p w14:paraId="7040D525" w14:textId="77777777" w:rsidR="00B2052C" w:rsidRPr="000C78BF" w:rsidRDefault="00B2052C" w:rsidP="00DB1FFD">
            <w:pPr>
              <w:pStyle w:val="BodyText"/>
              <w:keepNext/>
              <w:keepLines/>
              <w:ind w:left="113" w:right="113"/>
              <w:jc w:val="center"/>
            </w:pPr>
          </w:p>
        </w:tc>
        <w:tc>
          <w:tcPr>
            <w:tcW w:w="4746" w:type="dxa"/>
            <w:vAlign w:val="center"/>
            <w:hideMark/>
          </w:tcPr>
          <w:p w14:paraId="023DCF20" w14:textId="77777777" w:rsidR="00B2052C" w:rsidRPr="000C78BF" w:rsidRDefault="00B2052C" w:rsidP="00DB1FFD">
            <w:pPr>
              <w:pStyle w:val="BodyText"/>
              <w:keepNext/>
              <w:keepLines/>
              <w:cnfStyle w:val="000000100000" w:firstRow="0" w:lastRow="0" w:firstColumn="0" w:lastColumn="0" w:oddVBand="0" w:evenVBand="0" w:oddHBand="1" w:evenHBand="0" w:firstRowFirstColumn="0" w:firstRowLastColumn="0" w:lastRowFirstColumn="0" w:lastRowLastColumn="0"/>
            </w:pPr>
            <w:r w:rsidRPr="000C78BF">
              <w:t>Stor</w:t>
            </w:r>
          </w:p>
        </w:tc>
        <w:tc>
          <w:tcPr>
            <w:tcW w:w="1843" w:type="dxa"/>
            <w:noWrap/>
            <w:vAlign w:val="center"/>
            <w:hideMark/>
          </w:tcPr>
          <w:p w14:paraId="183FBAA5" w14:textId="77777777" w:rsidR="00B2052C" w:rsidRPr="00D85994" w:rsidRDefault="00B2052C" w:rsidP="00DB1FFD">
            <w:pPr>
              <w:pStyle w:val="BodyText"/>
              <w:keepNext/>
              <w:keepLines/>
              <w:jc w:val="center"/>
              <w:cnfStyle w:val="000000100000" w:firstRow="0" w:lastRow="0" w:firstColumn="0" w:lastColumn="0" w:oddVBand="0" w:evenVBand="0" w:oddHBand="1" w:evenHBand="0" w:firstRowFirstColumn="0" w:firstRowLastColumn="0" w:lastRowFirstColumn="0" w:lastRowLastColumn="0"/>
            </w:pPr>
            <w:r w:rsidRPr="00D85994">
              <w:t>&gt; 3000 kg</w:t>
            </w:r>
          </w:p>
        </w:tc>
      </w:tr>
      <w:tr w:rsidR="00B2052C" w:rsidRPr="000C78BF" w14:paraId="70D8E8A8" w14:textId="77777777" w:rsidTr="000708D5">
        <w:trPr>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val="restart"/>
            <w:textDirection w:val="tbRl"/>
            <w:vAlign w:val="bottom"/>
          </w:tcPr>
          <w:p w14:paraId="6515D3D3" w14:textId="77777777" w:rsidR="00B2052C" w:rsidRPr="000C78BF" w:rsidRDefault="00B2052C" w:rsidP="00DB1FFD">
            <w:pPr>
              <w:pStyle w:val="BodyText"/>
              <w:keepNext/>
              <w:keepLines/>
              <w:ind w:left="113" w:right="113"/>
              <w:jc w:val="center"/>
            </w:pPr>
            <w:r>
              <w:t>Diesel</w:t>
            </w:r>
          </w:p>
        </w:tc>
        <w:tc>
          <w:tcPr>
            <w:tcW w:w="4746" w:type="dxa"/>
            <w:vAlign w:val="center"/>
            <w:hideMark/>
          </w:tcPr>
          <w:p w14:paraId="116C3586" w14:textId="77777777" w:rsidR="00B2052C" w:rsidRPr="000C78BF" w:rsidRDefault="00B2052C" w:rsidP="00DB1FFD">
            <w:pPr>
              <w:pStyle w:val="BodyText"/>
              <w:keepNext/>
              <w:keepLines/>
              <w:cnfStyle w:val="000000000000" w:firstRow="0" w:lastRow="0" w:firstColumn="0" w:lastColumn="0" w:oddVBand="0" w:evenVBand="0" w:oddHBand="0" w:evenHBand="0" w:firstRowFirstColumn="0" w:firstRowLastColumn="0" w:lastRowFirstColumn="0" w:lastRowLastColumn="0"/>
            </w:pPr>
            <w:r w:rsidRPr="000C78BF">
              <w:t>Lille</w:t>
            </w:r>
          </w:p>
        </w:tc>
        <w:tc>
          <w:tcPr>
            <w:tcW w:w="1843" w:type="dxa"/>
            <w:noWrap/>
            <w:vAlign w:val="center"/>
            <w:hideMark/>
          </w:tcPr>
          <w:p w14:paraId="7F4E106C" w14:textId="77777777" w:rsidR="00B2052C" w:rsidRPr="00D85994" w:rsidRDefault="00B2052C" w:rsidP="00DB1FFD">
            <w:pPr>
              <w:pStyle w:val="BodyText"/>
              <w:keepNext/>
              <w:keepLines/>
              <w:jc w:val="center"/>
              <w:cnfStyle w:val="000000000000" w:firstRow="0" w:lastRow="0" w:firstColumn="0" w:lastColumn="0" w:oddVBand="0" w:evenVBand="0" w:oddHBand="0" w:evenHBand="0" w:firstRowFirstColumn="0" w:firstRowLastColumn="0" w:lastRowFirstColumn="0" w:lastRowLastColumn="0"/>
            </w:pPr>
            <w:r w:rsidRPr="00D85994">
              <w:t>&lt;= 2000 kg</w:t>
            </w:r>
          </w:p>
        </w:tc>
      </w:tr>
      <w:tr w:rsidR="00B2052C" w:rsidRPr="000C78BF" w14:paraId="48D5E334" w14:textId="77777777" w:rsidTr="000708D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tcPr>
          <w:p w14:paraId="4C6264C0" w14:textId="77777777" w:rsidR="00B2052C" w:rsidRPr="000C78BF" w:rsidRDefault="00B2052C" w:rsidP="00DB1FFD">
            <w:pPr>
              <w:pStyle w:val="BodyText"/>
              <w:keepNext/>
              <w:keepLines/>
            </w:pPr>
          </w:p>
        </w:tc>
        <w:tc>
          <w:tcPr>
            <w:tcW w:w="4746" w:type="dxa"/>
            <w:vAlign w:val="center"/>
            <w:hideMark/>
          </w:tcPr>
          <w:p w14:paraId="75BFECFE" w14:textId="77777777" w:rsidR="00B2052C" w:rsidRPr="000C78BF" w:rsidRDefault="00B2052C" w:rsidP="00DB1FFD">
            <w:pPr>
              <w:pStyle w:val="BodyText"/>
              <w:keepNext/>
              <w:keepLines/>
              <w:cnfStyle w:val="000000100000" w:firstRow="0" w:lastRow="0" w:firstColumn="0" w:lastColumn="0" w:oddVBand="0" w:evenVBand="0" w:oddHBand="1" w:evenHBand="0" w:firstRowFirstColumn="0" w:firstRowLastColumn="0" w:lastRowFirstColumn="0" w:lastRowLastColumn="0"/>
            </w:pPr>
            <w:r w:rsidRPr="000C78BF">
              <w:t>Mellem</w:t>
            </w:r>
          </w:p>
        </w:tc>
        <w:tc>
          <w:tcPr>
            <w:tcW w:w="1843" w:type="dxa"/>
            <w:noWrap/>
            <w:vAlign w:val="center"/>
            <w:hideMark/>
          </w:tcPr>
          <w:p w14:paraId="5EF3C4E8" w14:textId="77777777" w:rsidR="00B2052C" w:rsidRPr="00D85994" w:rsidRDefault="00B2052C" w:rsidP="00DB1FFD">
            <w:pPr>
              <w:pStyle w:val="BodyText"/>
              <w:keepNext/>
              <w:keepLines/>
              <w:jc w:val="center"/>
              <w:cnfStyle w:val="000000100000" w:firstRow="0" w:lastRow="0" w:firstColumn="0" w:lastColumn="0" w:oddVBand="0" w:evenVBand="0" w:oddHBand="1" w:evenHBand="0" w:firstRowFirstColumn="0" w:firstRowLastColumn="0" w:lastRowFirstColumn="0" w:lastRowLastColumn="0"/>
            </w:pPr>
            <w:r w:rsidRPr="00D85994">
              <w:t>2000 – 3000 kg</w:t>
            </w:r>
          </w:p>
        </w:tc>
      </w:tr>
      <w:tr w:rsidR="00B2052C" w:rsidRPr="000C78BF" w14:paraId="410F2323" w14:textId="77777777" w:rsidTr="000708D5">
        <w:trPr>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tcPr>
          <w:p w14:paraId="507A2372" w14:textId="77777777" w:rsidR="00B2052C" w:rsidRPr="000C78BF" w:rsidRDefault="00B2052C" w:rsidP="00DB1FFD">
            <w:pPr>
              <w:pStyle w:val="BodyText"/>
              <w:keepNext/>
              <w:keepLines/>
            </w:pPr>
          </w:p>
        </w:tc>
        <w:tc>
          <w:tcPr>
            <w:tcW w:w="4746" w:type="dxa"/>
            <w:vAlign w:val="center"/>
            <w:hideMark/>
          </w:tcPr>
          <w:p w14:paraId="78AEB948" w14:textId="77777777" w:rsidR="00B2052C" w:rsidRPr="000C78BF" w:rsidRDefault="00B2052C" w:rsidP="00DB1FFD">
            <w:pPr>
              <w:pStyle w:val="BodyText"/>
              <w:keepNext/>
              <w:keepLines/>
              <w:cnfStyle w:val="000000000000" w:firstRow="0" w:lastRow="0" w:firstColumn="0" w:lastColumn="0" w:oddVBand="0" w:evenVBand="0" w:oddHBand="0" w:evenHBand="0" w:firstRowFirstColumn="0" w:firstRowLastColumn="0" w:lastRowFirstColumn="0" w:lastRowLastColumn="0"/>
            </w:pPr>
            <w:r w:rsidRPr="000C78BF">
              <w:t>Stor</w:t>
            </w:r>
          </w:p>
        </w:tc>
        <w:tc>
          <w:tcPr>
            <w:tcW w:w="1843" w:type="dxa"/>
            <w:noWrap/>
            <w:vAlign w:val="center"/>
            <w:hideMark/>
          </w:tcPr>
          <w:p w14:paraId="6206FC6F" w14:textId="77777777" w:rsidR="00B2052C" w:rsidRPr="00D85994" w:rsidRDefault="00B2052C" w:rsidP="00DB1FFD">
            <w:pPr>
              <w:pStyle w:val="BodyText"/>
              <w:keepNext/>
              <w:keepLines/>
              <w:jc w:val="center"/>
              <w:cnfStyle w:val="000000000000" w:firstRow="0" w:lastRow="0" w:firstColumn="0" w:lastColumn="0" w:oddVBand="0" w:evenVBand="0" w:oddHBand="0" w:evenHBand="0" w:firstRowFirstColumn="0" w:firstRowLastColumn="0" w:lastRowFirstColumn="0" w:lastRowLastColumn="0"/>
            </w:pPr>
            <w:r w:rsidRPr="00D85994">
              <w:t>&gt; 3000 kg</w:t>
            </w:r>
          </w:p>
        </w:tc>
      </w:tr>
      <w:tr w:rsidR="000708D5" w:rsidRPr="000C78BF" w14:paraId="280EBFC1" w14:textId="77777777" w:rsidTr="00E75258">
        <w:trPr>
          <w:cnfStyle w:val="000000100000" w:firstRow="0" w:lastRow="0" w:firstColumn="0" w:lastColumn="0" w:oddVBand="0" w:evenVBand="0" w:oddHBand="1" w:evenHBand="0" w:firstRowFirstColumn="0" w:firstRowLastColumn="0" w:lastRowFirstColumn="0" w:lastRowLastColumn="0"/>
          <w:trHeight w:hRule="exact" w:val="507"/>
        </w:trPr>
        <w:tc>
          <w:tcPr>
            <w:cnfStyle w:val="001000000000" w:firstRow="0" w:lastRow="0" w:firstColumn="1" w:lastColumn="0" w:oddVBand="0" w:evenVBand="0" w:oddHBand="0" w:evenHBand="0" w:firstRowFirstColumn="0" w:firstRowLastColumn="0" w:lastRowFirstColumn="0" w:lastRowLastColumn="0"/>
            <w:tcW w:w="1032" w:type="dxa"/>
            <w:vMerge w:val="restart"/>
            <w:textDirection w:val="tbRl"/>
          </w:tcPr>
          <w:p w14:paraId="5B28C90A" w14:textId="1C230350" w:rsidR="000708D5" w:rsidRPr="000C78BF" w:rsidRDefault="000708D5" w:rsidP="00DB1FFD">
            <w:pPr>
              <w:pStyle w:val="BodyText"/>
              <w:keepNext/>
              <w:keepLines/>
              <w:ind w:left="113" w:right="113"/>
            </w:pPr>
            <w:r>
              <w:t>Plug-in-Hybrid</w:t>
            </w:r>
          </w:p>
        </w:tc>
        <w:tc>
          <w:tcPr>
            <w:tcW w:w="4746" w:type="dxa"/>
            <w:vAlign w:val="center"/>
          </w:tcPr>
          <w:p w14:paraId="46B55DDF" w14:textId="3EA3289C" w:rsidR="000708D5" w:rsidRPr="000C78BF" w:rsidRDefault="000708D5" w:rsidP="00DB1FFD">
            <w:pPr>
              <w:pStyle w:val="BodyText"/>
              <w:keepNext/>
              <w:keepLines/>
              <w:cnfStyle w:val="000000100000" w:firstRow="0" w:lastRow="0" w:firstColumn="0" w:lastColumn="0" w:oddVBand="0" w:evenVBand="0" w:oddHBand="1" w:evenHBand="0" w:firstRowFirstColumn="0" w:firstRowLastColumn="0" w:lastRowFirstColumn="0" w:lastRowLastColumn="0"/>
            </w:pPr>
            <w:r w:rsidRPr="000C78BF">
              <w:t>Mellem</w:t>
            </w:r>
          </w:p>
        </w:tc>
        <w:tc>
          <w:tcPr>
            <w:tcW w:w="1843" w:type="dxa"/>
            <w:noWrap/>
            <w:vAlign w:val="center"/>
          </w:tcPr>
          <w:p w14:paraId="36DF1AAA" w14:textId="14BD249D" w:rsidR="000708D5" w:rsidRDefault="00D4705B" w:rsidP="00DB1FFD">
            <w:pPr>
              <w:pStyle w:val="BodyText"/>
              <w:keepNext/>
              <w:keepLines/>
              <w:jc w:val="center"/>
              <w:cnfStyle w:val="000000100000" w:firstRow="0" w:lastRow="0" w:firstColumn="0" w:lastColumn="0" w:oddVBand="0" w:evenVBand="0" w:oddHBand="1" w:evenHBand="0" w:firstRowFirstColumn="0" w:firstRowLastColumn="0" w:lastRowFirstColumn="0" w:lastRowLastColumn="0"/>
            </w:pPr>
            <w:r w:rsidRPr="00D85994">
              <w:t>&lt;= 2000 kg</w:t>
            </w:r>
          </w:p>
        </w:tc>
      </w:tr>
      <w:tr w:rsidR="000708D5" w:rsidRPr="000C78BF" w14:paraId="188290D5" w14:textId="77777777" w:rsidTr="00E75258">
        <w:trPr>
          <w:trHeight w:hRule="exact" w:val="455"/>
        </w:trPr>
        <w:tc>
          <w:tcPr>
            <w:cnfStyle w:val="001000000000" w:firstRow="0" w:lastRow="0" w:firstColumn="1" w:lastColumn="0" w:oddVBand="0" w:evenVBand="0" w:oddHBand="0" w:evenHBand="0" w:firstRowFirstColumn="0" w:firstRowLastColumn="0" w:lastRowFirstColumn="0" w:lastRowLastColumn="0"/>
            <w:tcW w:w="1032" w:type="dxa"/>
            <w:vMerge/>
          </w:tcPr>
          <w:p w14:paraId="58DF1A57" w14:textId="77777777" w:rsidR="000708D5" w:rsidRPr="000C78BF" w:rsidRDefault="000708D5" w:rsidP="00DB1FFD">
            <w:pPr>
              <w:pStyle w:val="BodyText"/>
              <w:keepNext/>
              <w:keepLines/>
            </w:pPr>
          </w:p>
        </w:tc>
        <w:tc>
          <w:tcPr>
            <w:tcW w:w="4746" w:type="dxa"/>
            <w:vAlign w:val="center"/>
          </w:tcPr>
          <w:p w14:paraId="1459ADE9" w14:textId="77777777" w:rsidR="000708D5" w:rsidRDefault="000708D5" w:rsidP="00DB1FFD">
            <w:pPr>
              <w:pStyle w:val="BodyText"/>
              <w:keepNext/>
              <w:keepLines/>
              <w:cnfStyle w:val="000000000000" w:firstRow="0" w:lastRow="0" w:firstColumn="0" w:lastColumn="0" w:oddVBand="0" w:evenVBand="0" w:oddHBand="0" w:evenHBand="0" w:firstRowFirstColumn="0" w:firstRowLastColumn="0" w:lastRowFirstColumn="0" w:lastRowLastColumn="0"/>
            </w:pPr>
            <w:r w:rsidRPr="000C78BF">
              <w:t>Stor</w:t>
            </w:r>
          </w:p>
          <w:p w14:paraId="02026389" w14:textId="77777777" w:rsidR="000708D5" w:rsidRPr="000C78BF" w:rsidRDefault="000708D5" w:rsidP="00DB1FFD">
            <w:pPr>
              <w:pStyle w:val="BodyText"/>
              <w:keepNext/>
              <w:keepLines/>
              <w:cnfStyle w:val="000000000000" w:firstRow="0" w:lastRow="0" w:firstColumn="0" w:lastColumn="0" w:oddVBand="0" w:evenVBand="0" w:oddHBand="0" w:evenHBand="0" w:firstRowFirstColumn="0" w:firstRowLastColumn="0" w:lastRowFirstColumn="0" w:lastRowLastColumn="0"/>
            </w:pPr>
          </w:p>
        </w:tc>
        <w:tc>
          <w:tcPr>
            <w:tcW w:w="1843" w:type="dxa"/>
            <w:noWrap/>
            <w:vAlign w:val="center"/>
          </w:tcPr>
          <w:p w14:paraId="30B12FC6" w14:textId="37324525" w:rsidR="000708D5" w:rsidRDefault="00D4705B" w:rsidP="00DB1FFD">
            <w:pPr>
              <w:pStyle w:val="BodyText"/>
              <w:keepNext/>
              <w:keepLines/>
              <w:jc w:val="center"/>
              <w:cnfStyle w:val="000000000000" w:firstRow="0" w:lastRow="0" w:firstColumn="0" w:lastColumn="0" w:oddVBand="0" w:evenVBand="0" w:oddHBand="0" w:evenHBand="0" w:firstRowFirstColumn="0" w:firstRowLastColumn="0" w:lastRowFirstColumn="0" w:lastRowLastColumn="0"/>
            </w:pPr>
            <w:r w:rsidRPr="00D85994">
              <w:t>2000 – 3000 kg</w:t>
            </w:r>
          </w:p>
        </w:tc>
      </w:tr>
      <w:tr w:rsidR="000708D5" w:rsidRPr="000C78BF" w14:paraId="57754BAA" w14:textId="77777777" w:rsidTr="000708D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val="restart"/>
            <w:textDirection w:val="tbRl"/>
          </w:tcPr>
          <w:p w14:paraId="63FAF3F3" w14:textId="4F7170D3" w:rsidR="000708D5" w:rsidRPr="000C78BF" w:rsidRDefault="000708D5" w:rsidP="00DB1FFD">
            <w:pPr>
              <w:pStyle w:val="BodyText"/>
              <w:keepNext/>
              <w:keepLines/>
              <w:jc w:val="center"/>
            </w:pPr>
            <w:r>
              <w:br/>
              <w:t>El</w:t>
            </w:r>
          </w:p>
        </w:tc>
        <w:tc>
          <w:tcPr>
            <w:tcW w:w="4746" w:type="dxa"/>
            <w:vAlign w:val="center"/>
          </w:tcPr>
          <w:p w14:paraId="2D6D9070" w14:textId="4E023CCC" w:rsidR="000708D5" w:rsidRPr="000C78BF" w:rsidRDefault="000708D5" w:rsidP="00DB1FFD">
            <w:pPr>
              <w:pStyle w:val="BodyText"/>
              <w:keepNext/>
              <w:keepLines/>
              <w:cnfStyle w:val="000000100000" w:firstRow="0" w:lastRow="0" w:firstColumn="0" w:lastColumn="0" w:oddVBand="0" w:evenVBand="0" w:oddHBand="1" w:evenHBand="0" w:firstRowFirstColumn="0" w:firstRowLastColumn="0" w:lastRowFirstColumn="0" w:lastRowLastColumn="0"/>
            </w:pPr>
            <w:r w:rsidRPr="000C78BF">
              <w:t>Lille</w:t>
            </w:r>
          </w:p>
        </w:tc>
        <w:tc>
          <w:tcPr>
            <w:tcW w:w="1843" w:type="dxa"/>
            <w:noWrap/>
            <w:vAlign w:val="center"/>
          </w:tcPr>
          <w:p w14:paraId="5F4AE663" w14:textId="7374A273" w:rsidR="000708D5" w:rsidRDefault="003626E6" w:rsidP="00DB1FFD">
            <w:pPr>
              <w:pStyle w:val="BodyText"/>
              <w:keepNext/>
              <w:keepLines/>
              <w:jc w:val="center"/>
              <w:cnfStyle w:val="000000100000" w:firstRow="0" w:lastRow="0" w:firstColumn="0" w:lastColumn="0" w:oddVBand="0" w:evenVBand="0" w:oddHBand="1" w:evenHBand="0" w:firstRowFirstColumn="0" w:firstRowLastColumn="0" w:lastRowFirstColumn="0" w:lastRowLastColumn="0"/>
            </w:pPr>
            <w:r>
              <w:t>&lt;</w:t>
            </w:r>
            <w:r w:rsidRPr="00D85994">
              <w:t xml:space="preserve"> </w:t>
            </w:r>
            <w:r w:rsidR="00D4705B" w:rsidRPr="00D85994">
              <w:t>3000 kg</w:t>
            </w:r>
          </w:p>
        </w:tc>
      </w:tr>
      <w:tr w:rsidR="000708D5" w:rsidRPr="000C78BF" w14:paraId="6DE54924" w14:textId="77777777" w:rsidTr="000708D5">
        <w:trPr>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tcPr>
          <w:p w14:paraId="49E4A195" w14:textId="77777777" w:rsidR="000708D5" w:rsidRPr="000C78BF" w:rsidRDefault="000708D5" w:rsidP="00DB1FFD">
            <w:pPr>
              <w:pStyle w:val="BodyText"/>
              <w:keepNext/>
              <w:keepLines/>
            </w:pPr>
          </w:p>
        </w:tc>
        <w:tc>
          <w:tcPr>
            <w:tcW w:w="4746" w:type="dxa"/>
            <w:vAlign w:val="center"/>
          </w:tcPr>
          <w:p w14:paraId="6317AF63" w14:textId="46E33866" w:rsidR="000708D5" w:rsidRPr="000C78BF" w:rsidRDefault="000708D5" w:rsidP="00DB1FFD">
            <w:pPr>
              <w:pStyle w:val="BodyText"/>
              <w:keepNext/>
              <w:keepLines/>
              <w:cnfStyle w:val="000000000000" w:firstRow="0" w:lastRow="0" w:firstColumn="0" w:lastColumn="0" w:oddVBand="0" w:evenVBand="0" w:oddHBand="0" w:evenHBand="0" w:firstRowFirstColumn="0" w:firstRowLastColumn="0" w:lastRowFirstColumn="0" w:lastRowLastColumn="0"/>
            </w:pPr>
            <w:r w:rsidRPr="000C78BF">
              <w:t>Mellem</w:t>
            </w:r>
          </w:p>
        </w:tc>
        <w:tc>
          <w:tcPr>
            <w:tcW w:w="1843" w:type="dxa"/>
            <w:noWrap/>
            <w:vAlign w:val="center"/>
          </w:tcPr>
          <w:p w14:paraId="1EB05623" w14:textId="6F7BEF07" w:rsidR="000708D5" w:rsidRDefault="005F6B92" w:rsidP="00DB1FFD">
            <w:pPr>
              <w:pStyle w:val="BodyText"/>
              <w:keepNext/>
              <w:keepLines/>
              <w:jc w:val="center"/>
              <w:cnfStyle w:val="000000000000" w:firstRow="0" w:lastRow="0" w:firstColumn="0" w:lastColumn="0" w:oddVBand="0" w:evenVBand="0" w:oddHBand="0" w:evenHBand="0" w:firstRowFirstColumn="0" w:firstRowLastColumn="0" w:lastRowFirstColumn="0" w:lastRowLastColumn="0"/>
            </w:pPr>
            <w:r>
              <w:t>3.000 – 3.250</w:t>
            </w:r>
          </w:p>
        </w:tc>
      </w:tr>
      <w:tr w:rsidR="000708D5" w:rsidRPr="000C78BF" w14:paraId="52F2ED78" w14:textId="77777777" w:rsidTr="000708D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032" w:type="dxa"/>
            <w:vMerge/>
          </w:tcPr>
          <w:p w14:paraId="1033CE69" w14:textId="77777777" w:rsidR="000708D5" w:rsidRPr="000C78BF" w:rsidRDefault="000708D5" w:rsidP="00DB1FFD">
            <w:pPr>
              <w:pStyle w:val="BodyText"/>
              <w:keepNext/>
              <w:keepLines/>
            </w:pPr>
          </w:p>
        </w:tc>
        <w:tc>
          <w:tcPr>
            <w:tcW w:w="4746" w:type="dxa"/>
            <w:vAlign w:val="center"/>
          </w:tcPr>
          <w:p w14:paraId="15F7762D" w14:textId="77777777" w:rsidR="000708D5" w:rsidRDefault="000708D5" w:rsidP="00DB1FFD">
            <w:pPr>
              <w:pStyle w:val="BodyText"/>
              <w:keepNext/>
              <w:keepLines/>
              <w:cnfStyle w:val="000000100000" w:firstRow="0" w:lastRow="0" w:firstColumn="0" w:lastColumn="0" w:oddVBand="0" w:evenVBand="0" w:oddHBand="1" w:evenHBand="0" w:firstRowFirstColumn="0" w:firstRowLastColumn="0" w:lastRowFirstColumn="0" w:lastRowLastColumn="0"/>
            </w:pPr>
            <w:r w:rsidRPr="000C78BF">
              <w:t>Stor</w:t>
            </w:r>
          </w:p>
          <w:p w14:paraId="2E824E03" w14:textId="77777777" w:rsidR="000708D5" w:rsidRPr="000C78BF" w:rsidRDefault="000708D5" w:rsidP="00DB1FFD">
            <w:pPr>
              <w:pStyle w:val="BodyText"/>
              <w:keepNext/>
              <w:keepLines/>
              <w:cnfStyle w:val="000000100000" w:firstRow="0" w:lastRow="0" w:firstColumn="0" w:lastColumn="0" w:oddVBand="0" w:evenVBand="0" w:oddHBand="1" w:evenHBand="0" w:firstRowFirstColumn="0" w:firstRowLastColumn="0" w:lastRowFirstColumn="0" w:lastRowLastColumn="0"/>
            </w:pPr>
          </w:p>
        </w:tc>
        <w:tc>
          <w:tcPr>
            <w:tcW w:w="1843" w:type="dxa"/>
            <w:noWrap/>
            <w:vAlign w:val="center"/>
          </w:tcPr>
          <w:p w14:paraId="57F7A7F3" w14:textId="06AE6E9D" w:rsidR="000708D5" w:rsidRDefault="00CA31A6" w:rsidP="00DB1FFD">
            <w:pPr>
              <w:pStyle w:val="BodyText"/>
              <w:keepNext/>
              <w:keepLines/>
              <w:jc w:val="center"/>
              <w:cnfStyle w:val="000000100000" w:firstRow="0" w:lastRow="0" w:firstColumn="0" w:lastColumn="0" w:oddVBand="0" w:evenVBand="0" w:oddHBand="1" w:evenHBand="0" w:firstRowFirstColumn="0" w:firstRowLastColumn="0" w:lastRowFirstColumn="0" w:lastRowLastColumn="0"/>
            </w:pPr>
            <w:r>
              <w:t>&gt; 3.250</w:t>
            </w:r>
          </w:p>
        </w:tc>
      </w:tr>
    </w:tbl>
    <w:p w14:paraId="7CC3D65E" w14:textId="77777777" w:rsidR="00B2052C" w:rsidRDefault="00B2052C" w:rsidP="00B2052C">
      <w:pPr>
        <w:pStyle w:val="BodyText"/>
      </w:pPr>
    </w:p>
    <w:p w14:paraId="0003E07E" w14:textId="06A1948D" w:rsidR="00B2052C" w:rsidRDefault="00B2052C" w:rsidP="00B2052C">
      <w:pPr>
        <w:pStyle w:val="BodyText"/>
      </w:pPr>
      <w:r w:rsidRPr="00D4705B">
        <w:t>Lastbilerne opdeles i samme grupper som i Landstrafikmodellen. dvs.: Lastbil u. anhænger &lt; 12 T, lastbil u. anhænger &gt; 12 T, lastbil m. anhænger, sættevognstog samt modulvogntog</w:t>
      </w:r>
      <w:r w:rsidR="00FB01B8" w:rsidRPr="00D4705B">
        <w:t>.</w:t>
      </w:r>
      <w:r w:rsidRPr="00D4705B">
        <w:rPr>
          <w:rStyle w:val="FootnoteReference"/>
        </w:rPr>
        <w:footnoteReference w:id="6"/>
      </w:r>
    </w:p>
    <w:p w14:paraId="2FC7FD7E" w14:textId="0334677A" w:rsidR="00B2052C" w:rsidRDefault="00B2052C" w:rsidP="00B2052C">
      <w:pPr>
        <w:pStyle w:val="BodyText"/>
      </w:pPr>
      <w:r>
        <w:t xml:space="preserve">Beregning af køretøjernes omkostninger er baseret på indsamling af informationer på konkrete køretøjer. Det er valgt at lade de tre </w:t>
      </w:r>
      <w:r w:rsidR="00FB01B8">
        <w:t xml:space="preserve">mest solgte </w:t>
      </w:r>
      <w:r>
        <w:t>køretøjer i hver aldersgruppe repræsentere de udvalgte køretøjer. Hvilke køretøjer fremgår af de enkelte køretøjsspecifikke ark i beregningsarket. For eksempel er det de følgende tre biler</w:t>
      </w:r>
      <w:r w:rsidR="008D0840">
        <w:t>,</w:t>
      </w:r>
      <w:r>
        <w:t xml:space="preserve"> der repræsenterer en </w:t>
      </w:r>
      <w:r w:rsidR="008D0840">
        <w:t>lille</w:t>
      </w:r>
      <w:r>
        <w:t xml:space="preserve"> </w:t>
      </w:r>
      <w:r w:rsidR="008D0840">
        <w:t>benzin</w:t>
      </w:r>
      <w:r>
        <w:t xml:space="preserve">bil fra </w:t>
      </w:r>
      <w:r w:rsidRPr="00D4705B">
        <w:t>20</w:t>
      </w:r>
      <w:r w:rsidR="008D0840" w:rsidRPr="00D4705B">
        <w:t>21</w:t>
      </w:r>
      <w:r>
        <w:t>:</w:t>
      </w:r>
    </w:p>
    <w:p w14:paraId="1559F8B0" w14:textId="27BEEABA" w:rsidR="008D0840" w:rsidRDefault="008D0840" w:rsidP="00B2052C">
      <w:pPr>
        <w:pStyle w:val="ListNumberNoSpace"/>
      </w:pPr>
      <w:r>
        <w:t xml:space="preserve">Citroen C3, 1.2 </w:t>
      </w:r>
      <w:proofErr w:type="spellStart"/>
      <w:r>
        <w:t>PureTech</w:t>
      </w:r>
      <w:proofErr w:type="spellEnd"/>
      <w:r>
        <w:t xml:space="preserve"> 83 5D</w:t>
      </w:r>
    </w:p>
    <w:p w14:paraId="623FADB2" w14:textId="516254FE" w:rsidR="008D0840" w:rsidRDefault="008D0840" w:rsidP="00B2052C">
      <w:pPr>
        <w:pStyle w:val="ListNumberNoSpace"/>
      </w:pPr>
      <w:r>
        <w:t xml:space="preserve">Opel </w:t>
      </w:r>
      <w:proofErr w:type="spellStart"/>
      <w:r>
        <w:t>Corsa</w:t>
      </w:r>
      <w:proofErr w:type="spellEnd"/>
      <w:r>
        <w:t>, 1.2 5D</w:t>
      </w:r>
    </w:p>
    <w:p w14:paraId="26549BB3" w14:textId="69134C41" w:rsidR="00B2052C" w:rsidRDefault="00B2052C" w:rsidP="00B2052C">
      <w:pPr>
        <w:pStyle w:val="ListNumberNoSpace"/>
      </w:pPr>
      <w:r>
        <w:t xml:space="preserve">Peugeot </w:t>
      </w:r>
      <w:r w:rsidR="008D0840">
        <w:t>2</w:t>
      </w:r>
      <w:r>
        <w:t>08, 1.</w:t>
      </w:r>
      <w:r w:rsidR="008D0840">
        <w:t xml:space="preserve">2 </w:t>
      </w:r>
      <w:proofErr w:type="spellStart"/>
      <w:r w:rsidR="008D0840">
        <w:t>PureTech</w:t>
      </w:r>
      <w:proofErr w:type="spellEnd"/>
      <w:r w:rsidR="008D0840">
        <w:t xml:space="preserve"> 100 5D</w:t>
      </w:r>
    </w:p>
    <w:p w14:paraId="0D4BD44C" w14:textId="467FF6E1" w:rsidR="00B2052C" w:rsidRDefault="00B2052C" w:rsidP="008D0840">
      <w:pPr>
        <w:pStyle w:val="ListNumberNoSpace"/>
        <w:numPr>
          <w:ilvl w:val="0"/>
          <w:numId w:val="0"/>
        </w:numPr>
        <w:ind w:left="425"/>
      </w:pPr>
    </w:p>
    <w:p w14:paraId="6AD36AB2" w14:textId="77777777" w:rsidR="00D13B82" w:rsidRDefault="00B2052C" w:rsidP="00B2052C">
      <w:pPr>
        <w:pStyle w:val="BodyText"/>
      </w:pPr>
      <w:r w:rsidRPr="00E92969">
        <w:t>De konkrete køretøjer udvælges som de 3 køretøjer, der har de</w:t>
      </w:r>
      <w:r w:rsidR="00577C89" w:rsidRPr="00E92969">
        <w:t xml:space="preserve"> største salgstal</w:t>
      </w:r>
      <w:r w:rsidR="00ED45D3" w:rsidRPr="00E92969">
        <w:t xml:space="preserve"> i 2021</w:t>
      </w:r>
      <w:r w:rsidRPr="00E92969">
        <w:t xml:space="preserve">. </w:t>
      </w:r>
    </w:p>
    <w:p w14:paraId="23681899" w14:textId="2ABBABBA" w:rsidR="00286316" w:rsidRDefault="000B7EAE" w:rsidP="00AB1BA5">
      <w:pPr>
        <w:pStyle w:val="Heading2"/>
      </w:pPr>
      <w:bookmarkStart w:id="5" w:name="_Toc88834865"/>
      <w:r>
        <w:t>Sammenvægtning af køretøjsomkostninger til højere niveau</w:t>
      </w:r>
      <w:bookmarkEnd w:id="5"/>
    </w:p>
    <w:p w14:paraId="33F04613" w14:textId="77777777" w:rsidR="00EC7899" w:rsidRDefault="00EC7899" w:rsidP="00EC7899">
      <w:pPr>
        <w:pStyle w:val="BodyText"/>
      </w:pPr>
      <w:r>
        <w:t xml:space="preserve">Køretøjsomkostningerne beregnes som nævnt med udgangspunkt i konkrete repræsentative køretøjer. </w:t>
      </w:r>
    </w:p>
    <w:p w14:paraId="23BD2889" w14:textId="03BC763B" w:rsidR="00EC7899" w:rsidRDefault="00EC7899" w:rsidP="00EC7899">
      <w:pPr>
        <w:pStyle w:val="BodyText"/>
      </w:pPr>
      <w:r>
        <w:t xml:space="preserve">For hver størrelseskategori og for hver af de fire aldersgrupper er udvalgt der tre køretøjer, der samlet </w:t>
      </w:r>
      <w:r w:rsidR="006830E8">
        <w:t>set er mest</w:t>
      </w:r>
      <w:r w:rsidR="00B7449F">
        <w:t xml:space="preserve"> solgt </w:t>
      </w:r>
      <w:r>
        <w:t xml:space="preserve">i den pågældende størrelse og aldersgruppe. Omkostningerne for de tre konkrete køretøjer vægtes sammen til et </w:t>
      </w:r>
      <w:r>
        <w:lastRenderedPageBreak/>
        <w:t xml:space="preserve">repræsentativt køretøj med deres respektive </w:t>
      </w:r>
      <w:r w:rsidR="00B7449F">
        <w:t>trafikarbejde</w:t>
      </w:r>
      <w:r>
        <w:t xml:space="preserve">, således at de køretøjer, der har størst andel af </w:t>
      </w:r>
      <w:r w:rsidR="00C079C8">
        <w:t>trafikarbejdet</w:t>
      </w:r>
      <w:r>
        <w:t xml:space="preserve">, også får den største vægt ved beregning af de gennemsnitlige omkostninger for den pågældende kategori. </w:t>
      </w:r>
    </w:p>
    <w:p w14:paraId="2AC8DD3F" w14:textId="701058B9" w:rsidR="00EC7899" w:rsidRDefault="00EC7899" w:rsidP="00EC7899">
      <w:pPr>
        <w:pStyle w:val="BodyText"/>
      </w:pPr>
      <w:r>
        <w:t xml:space="preserve">Efterfølgende vægtes de repræsentative køretøjer sammen til en af de overordnede typer på Niveau II. Ved denne vægtning anvendes gruppens samlede </w:t>
      </w:r>
      <w:r w:rsidR="00FF6BE8">
        <w:t>trafikarbejde</w:t>
      </w:r>
      <w:r>
        <w:t>.</w:t>
      </w:r>
    </w:p>
    <w:p w14:paraId="060DE467" w14:textId="3BC49191" w:rsidR="00EC7899" w:rsidRPr="00607B10" w:rsidRDefault="00EC7899" w:rsidP="00EC7899">
      <w:pPr>
        <w:pStyle w:val="BodyText"/>
      </w:pPr>
      <w:r>
        <w:t>Endelig vægtes de gennemsnitlige Niveau II køretøjer sammen til det overordnede niveau, som består af personbiler, varebiler og lastbiler. Også her anvende</w:t>
      </w:r>
      <w:r w:rsidRPr="00607B10">
        <w:t xml:space="preserve">s køretøjernes samlede </w:t>
      </w:r>
      <w:r w:rsidR="000D7A8A" w:rsidRPr="00607B10">
        <w:t>trafikarbejde</w:t>
      </w:r>
      <w:r w:rsidRPr="00607B10">
        <w:t>.</w:t>
      </w:r>
    </w:p>
    <w:p w14:paraId="44392B8F" w14:textId="309F26BC" w:rsidR="00A21919" w:rsidRPr="00607B10" w:rsidRDefault="00B24F09" w:rsidP="00A21919">
      <w:pPr>
        <w:pStyle w:val="BodyText"/>
      </w:pPr>
      <w:r w:rsidRPr="00607B10">
        <w:t>T</w:t>
      </w:r>
      <w:r w:rsidR="00DE4A69" w:rsidRPr="00607B10">
        <w:t>rafikarbejde</w:t>
      </w:r>
      <w:r w:rsidRPr="00607B10">
        <w:t>t</w:t>
      </w:r>
      <w:r w:rsidR="00DE4A69" w:rsidRPr="00607B10">
        <w:t xml:space="preserve"> </w:t>
      </w:r>
      <w:r w:rsidR="00A21919" w:rsidRPr="00607B10">
        <w:t xml:space="preserve">for bilerne opdelt på kategori, drivkraft, alder er beregnet på baggrund af basisprognose udarbejdet af DTU til </w:t>
      </w:r>
      <w:r w:rsidR="0091507C" w:rsidRPr="00607B10">
        <w:t xml:space="preserve">regeringens </w:t>
      </w:r>
      <w:r w:rsidR="00A21919" w:rsidRPr="00607B10">
        <w:t>Klimafremskrivning.</w:t>
      </w:r>
      <w:r w:rsidR="00ED7BB6" w:rsidRPr="00607B10">
        <w:t xml:space="preserve"> Disse data er </w:t>
      </w:r>
      <w:r w:rsidR="00002E78" w:rsidRPr="00607B10">
        <w:t xml:space="preserve">stillet til rådighed </w:t>
      </w:r>
      <w:r w:rsidR="001150F3" w:rsidRPr="00607B10">
        <w:t>af DTU</w:t>
      </w:r>
      <w:r w:rsidR="00607B10" w:rsidRPr="00607B10">
        <w:t>.</w:t>
      </w:r>
      <w:r w:rsidR="00A21919" w:rsidRPr="00607B10">
        <w:t xml:space="preserve"> </w:t>
      </w:r>
    </w:p>
    <w:p w14:paraId="0A752DAC" w14:textId="7ED5F090" w:rsidR="00A21919" w:rsidRDefault="0079238F" w:rsidP="00EC7899">
      <w:pPr>
        <w:pStyle w:val="BodyText"/>
      </w:pPr>
      <w:r w:rsidRPr="00607B10">
        <w:t xml:space="preserve">De gennemsnitlige årskørsler </w:t>
      </w:r>
      <w:r w:rsidR="00A676BE">
        <w:t>er indlagt som baggrunds-dataark i modellen</w:t>
      </w:r>
      <w:r w:rsidR="001A2441">
        <w:t xml:space="preserve"> og hentes ind i de enkelte </w:t>
      </w:r>
      <w:r w:rsidR="00076960">
        <w:t xml:space="preserve">beregningsark for hver køretøjskategori. </w:t>
      </w:r>
    </w:p>
    <w:p w14:paraId="7CB7D842" w14:textId="4A6A7042" w:rsidR="00EC7899" w:rsidRDefault="00EC7899" w:rsidP="00EC7899">
      <w:pPr>
        <w:pStyle w:val="Heading1"/>
      </w:pPr>
      <w:bookmarkStart w:id="6" w:name="_Toc88834866"/>
      <w:r>
        <w:t>Levetider</w:t>
      </w:r>
      <w:bookmarkEnd w:id="6"/>
    </w:p>
    <w:p w14:paraId="2AB5FC5F" w14:textId="3653697A" w:rsidR="00EC7899" w:rsidRDefault="00EC7899" w:rsidP="00EC7899">
      <w:pPr>
        <w:pStyle w:val="BodyText"/>
      </w:pPr>
      <w:r>
        <w:t>Køretøjernes lev</w:t>
      </w:r>
      <w:r w:rsidRPr="0008597A">
        <w:t xml:space="preserve">etider er baseret på statistik på antal biler i bilparken fra </w:t>
      </w:r>
      <w:r w:rsidRPr="00CA05F8">
        <w:t>2015 og 2012</w:t>
      </w:r>
      <w:r>
        <w:t>. På baggrund af dataudtræk fra disse data kan man se, hvor mange biler</w:t>
      </w:r>
      <w:r w:rsidR="00DA5772">
        <w:t>,</w:t>
      </w:r>
      <w:r>
        <w:t xml:space="preserve"> der er i en given generation i </w:t>
      </w:r>
      <w:r w:rsidRPr="00CA05F8">
        <w:t>2012</w:t>
      </w:r>
      <w:r>
        <w:t xml:space="preserve"> og hvor mange biler der er tilbage i denne generation tre år senere i </w:t>
      </w:r>
      <w:r w:rsidRPr="00CA05F8">
        <w:t>2015</w:t>
      </w:r>
      <w:r>
        <w:t>.</w:t>
      </w:r>
      <w:r w:rsidR="00DA5772">
        <w:t xml:space="preserve"> Der er ikke til denne nye opdatering gennemført nye beregninger heraf.</w:t>
      </w:r>
    </w:p>
    <w:p w14:paraId="236F75FC" w14:textId="4AD4F6DB" w:rsidR="006473AF" w:rsidRDefault="006473AF" w:rsidP="006473AF">
      <w:pPr>
        <w:pStyle w:val="Heading2"/>
      </w:pPr>
      <w:bookmarkStart w:id="7" w:name="_Toc88834867"/>
      <w:r>
        <w:t>S</w:t>
      </w:r>
      <w:r w:rsidR="00E77C65">
        <w:t>k</w:t>
      </w:r>
      <w:r>
        <w:t>rotnings</w:t>
      </w:r>
      <w:r w:rsidR="00E77C65">
        <w:t>rater</w:t>
      </w:r>
      <w:bookmarkEnd w:id="7"/>
    </w:p>
    <w:p w14:paraId="229F86EE" w14:textId="31C954D8" w:rsidR="00EC7899" w:rsidRDefault="00EC7899" w:rsidP="00EC7899">
      <w:pPr>
        <w:pStyle w:val="BodyText"/>
      </w:pPr>
      <w:r w:rsidRPr="00C93479">
        <w:t xml:space="preserve">På baggrund af de således beregnede skrotningsrater, er der opstillet en simpel skrotningsmodel, der beskriver skrotningen af biler. </w:t>
      </w:r>
      <w:r w:rsidRPr="00C93479">
        <w:fldChar w:fldCharType="begin"/>
      </w:r>
      <w:r w:rsidRPr="00C93479">
        <w:instrText xml:space="preserve"> REF _Ref445365378 \h </w:instrText>
      </w:r>
      <w:r w:rsidR="008D0840" w:rsidRPr="00C93479">
        <w:instrText xml:space="preserve"> \* MERGEFORMAT </w:instrText>
      </w:r>
      <w:r w:rsidRPr="00C93479">
        <w:fldChar w:fldCharType="separate"/>
      </w:r>
      <w:r w:rsidRPr="00C93479">
        <w:t xml:space="preserve">Figur </w:t>
      </w:r>
      <w:r w:rsidRPr="00C93479">
        <w:rPr>
          <w:noProof/>
        </w:rPr>
        <w:t>4</w:t>
      </w:r>
      <w:r w:rsidRPr="00C93479">
        <w:noBreakHyphen/>
      </w:r>
      <w:r w:rsidRPr="00C93479">
        <w:rPr>
          <w:noProof/>
        </w:rPr>
        <w:t>1</w:t>
      </w:r>
      <w:r w:rsidRPr="00C93479">
        <w:fldChar w:fldCharType="end"/>
      </w:r>
      <w:r w:rsidRPr="00C93479">
        <w:t xml:space="preserve"> viser de observerede og det modelberegnede antal biler for mellemstore benzin</w:t>
      </w:r>
      <w:r>
        <w:t>biler. Der er opstillet lignende modeller for dieselbiler og for de øvrige størrelser.</w:t>
      </w:r>
      <w:r w:rsidR="00B905B8">
        <w:t xml:space="preserve"> </w:t>
      </w:r>
      <w:r w:rsidR="00B905B8">
        <w:t xml:space="preserve">Da der ikke endnu foreligger data til at kunne estimere selvstændige skrotningsmodeller for el- og pluginhybridbiler, er det antaget, at disse følger samme skrotningsmodel som benzinbiler. </w:t>
      </w:r>
    </w:p>
    <w:p w14:paraId="60B06516" w14:textId="089461A5" w:rsidR="008D0840" w:rsidRPr="00CA05F8" w:rsidRDefault="008D0840" w:rsidP="00C93479">
      <w:pPr>
        <w:pStyle w:val="Caption"/>
        <w:keepNext/>
        <w:keepLines/>
      </w:pPr>
      <w:bookmarkStart w:id="8" w:name="_Ref445365378"/>
      <w:bookmarkStart w:id="9" w:name="_Ref445365365"/>
      <w:r w:rsidRPr="00CA05F8">
        <w:lastRenderedPageBreak/>
        <w:t xml:space="preserve">Figur </w:t>
      </w:r>
      <w:r w:rsidR="009A42BC">
        <w:fldChar w:fldCharType="begin"/>
      </w:r>
      <w:r w:rsidR="009A42BC">
        <w:instrText xml:space="preserve"> STYLEREF 1 \s </w:instrText>
      </w:r>
      <w:r w:rsidR="009A42BC">
        <w:fldChar w:fldCharType="separate"/>
      </w:r>
      <w:r w:rsidRPr="00CA05F8">
        <w:t>4</w:t>
      </w:r>
      <w:r w:rsidR="009A42BC">
        <w:fldChar w:fldCharType="end"/>
      </w:r>
      <w:r w:rsidRPr="00CA05F8">
        <w:noBreakHyphen/>
      </w:r>
      <w:r w:rsidR="009A42BC">
        <w:fldChar w:fldCharType="begin"/>
      </w:r>
      <w:r w:rsidR="009A42BC">
        <w:instrText xml:space="preserve"> SEQ Figur \* ARABIC \s 1 </w:instrText>
      </w:r>
      <w:r w:rsidR="009A42BC">
        <w:fldChar w:fldCharType="separate"/>
      </w:r>
      <w:r w:rsidRPr="00CA05F8">
        <w:t>1</w:t>
      </w:r>
      <w:r w:rsidR="009A42BC">
        <w:fldChar w:fldCharType="end"/>
      </w:r>
      <w:bookmarkEnd w:id="8"/>
      <w:r w:rsidRPr="00CA05F8">
        <w:t xml:space="preserve"> </w:t>
      </w:r>
      <w:r w:rsidR="00DB1FFD">
        <w:tab/>
      </w:r>
      <w:proofErr w:type="gramStart"/>
      <w:r w:rsidRPr="00CA05F8">
        <w:t>3 årige</w:t>
      </w:r>
      <w:proofErr w:type="gramEnd"/>
      <w:r w:rsidRPr="00CA05F8">
        <w:t xml:space="preserve"> skrotrater observeret og modelberegnede</w:t>
      </w:r>
      <w:bookmarkEnd w:id="9"/>
    </w:p>
    <w:p w14:paraId="6A22E152" w14:textId="77777777" w:rsidR="008D0840" w:rsidRPr="00CA05F8" w:rsidRDefault="008D0840" w:rsidP="00C93479">
      <w:pPr>
        <w:pStyle w:val="BodyText"/>
        <w:keepNext/>
        <w:keepLines/>
      </w:pPr>
      <w:r w:rsidRPr="00CA05F8">
        <w:rPr>
          <w:noProof/>
        </w:rPr>
        <w:drawing>
          <wp:inline distT="0" distB="0" distL="0" distR="0" wp14:anchorId="284B2D41" wp14:editId="6713DB2C">
            <wp:extent cx="4584065" cy="2743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4065" cy="2743200"/>
                    </a:xfrm>
                    <a:prstGeom prst="rect">
                      <a:avLst/>
                    </a:prstGeom>
                    <a:noFill/>
                    <a:ln>
                      <a:noFill/>
                    </a:ln>
                  </pic:spPr>
                </pic:pic>
              </a:graphicData>
            </a:graphic>
          </wp:inline>
        </w:drawing>
      </w:r>
    </w:p>
    <w:p w14:paraId="572AE8F2" w14:textId="69665A3C" w:rsidR="008D0840" w:rsidRPr="00CA05F8" w:rsidRDefault="008D0840" w:rsidP="008D0840">
      <w:pPr>
        <w:pStyle w:val="BodyText"/>
      </w:pPr>
      <w:r w:rsidRPr="00CA05F8">
        <w:t>På baggrund af den 3-årige skrotningsmodel er beregnet den tilsvarende fordeling af bilerne efter ald</w:t>
      </w:r>
      <w:r w:rsidRPr="00CA05F8">
        <w:t xml:space="preserve">er, som vist i </w:t>
      </w:r>
      <w:r w:rsidRPr="00CA05F8">
        <w:fldChar w:fldCharType="begin"/>
      </w:r>
      <w:r w:rsidRPr="00CA05F8">
        <w:instrText xml:space="preserve"> REF _Ref445365781 \h  \* MERGEFORMAT </w:instrText>
      </w:r>
      <w:r w:rsidRPr="00CA05F8">
        <w:fldChar w:fldCharType="separate"/>
      </w:r>
      <w:r w:rsidRPr="00CA05F8">
        <w:t>Figur 4</w:t>
      </w:r>
      <w:r w:rsidRPr="00CA05F8">
        <w:noBreakHyphen/>
        <w:t>2</w:t>
      </w:r>
      <w:r w:rsidRPr="00CA05F8">
        <w:fldChar w:fldCharType="end"/>
      </w:r>
      <w:r w:rsidRPr="00CA05F8">
        <w:t>.</w:t>
      </w:r>
    </w:p>
    <w:p w14:paraId="243763CF" w14:textId="5364B691" w:rsidR="008D0840" w:rsidRPr="00CA05F8" w:rsidRDefault="008D0840" w:rsidP="008D0840">
      <w:pPr>
        <w:pStyle w:val="Caption"/>
      </w:pPr>
      <w:bookmarkStart w:id="10" w:name="_Ref445365781"/>
      <w:r w:rsidRPr="00CA05F8">
        <w:t xml:space="preserve">Figur </w:t>
      </w:r>
      <w:r w:rsidR="009A42BC">
        <w:fldChar w:fldCharType="begin"/>
      </w:r>
      <w:r w:rsidR="009A42BC">
        <w:instrText xml:space="preserve"> STYLEREF 1 \s </w:instrText>
      </w:r>
      <w:r w:rsidR="009A42BC">
        <w:fldChar w:fldCharType="separate"/>
      </w:r>
      <w:r w:rsidRPr="00CA05F8">
        <w:t>4</w:t>
      </w:r>
      <w:r w:rsidR="009A42BC">
        <w:fldChar w:fldCharType="end"/>
      </w:r>
      <w:r w:rsidRPr="00CA05F8">
        <w:noBreakHyphen/>
      </w:r>
      <w:r w:rsidR="009A42BC">
        <w:fldChar w:fldCharType="begin"/>
      </w:r>
      <w:r w:rsidR="009A42BC">
        <w:instrText xml:space="preserve"> SEQ Figur \* ARAB</w:instrText>
      </w:r>
      <w:r w:rsidR="009A42BC">
        <w:instrText xml:space="preserve">IC \s 1 </w:instrText>
      </w:r>
      <w:r w:rsidR="009A42BC">
        <w:fldChar w:fldCharType="separate"/>
      </w:r>
      <w:r w:rsidRPr="00CA05F8">
        <w:t>2</w:t>
      </w:r>
      <w:r w:rsidR="009A42BC">
        <w:fldChar w:fldCharType="end"/>
      </w:r>
      <w:bookmarkEnd w:id="10"/>
      <w:r w:rsidRPr="00CA05F8">
        <w:t xml:space="preserve"> </w:t>
      </w:r>
      <w:r w:rsidR="00DB1FFD">
        <w:tab/>
      </w:r>
      <w:r w:rsidRPr="00CA05F8">
        <w:t xml:space="preserve">Bilernes fordeling på alder, mellemstore personbiler. </w:t>
      </w:r>
    </w:p>
    <w:p w14:paraId="7BFCB225" w14:textId="77777777" w:rsidR="008D0840" w:rsidRDefault="008D0840" w:rsidP="008D0840">
      <w:pPr>
        <w:pStyle w:val="BodyText"/>
      </w:pPr>
      <w:r w:rsidRPr="00CA05F8">
        <w:rPr>
          <w:noProof/>
        </w:rPr>
        <w:drawing>
          <wp:inline distT="0" distB="0" distL="0" distR="0" wp14:anchorId="7FCC088A" wp14:editId="51708301">
            <wp:extent cx="4584065" cy="27432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4065" cy="2743200"/>
                    </a:xfrm>
                    <a:prstGeom prst="rect">
                      <a:avLst/>
                    </a:prstGeom>
                    <a:noFill/>
                    <a:ln>
                      <a:noFill/>
                    </a:ln>
                  </pic:spPr>
                </pic:pic>
              </a:graphicData>
            </a:graphic>
          </wp:inline>
        </w:drawing>
      </w:r>
    </w:p>
    <w:p w14:paraId="57E3FEBC" w14:textId="7E229D08" w:rsidR="008D0840" w:rsidRDefault="00887859" w:rsidP="00EC7899">
      <w:pPr>
        <w:pStyle w:val="BodyText"/>
      </w:pPr>
      <w:r>
        <w:t xml:space="preserve">I modellen er der </w:t>
      </w:r>
      <w:r w:rsidR="006B3351">
        <w:t xml:space="preserve">udarbejdet </w:t>
      </w:r>
      <w:r w:rsidR="00641CCA">
        <w:t>overlevelsestabeller for de enkelte årgange af bilerne baseret på de viste skrotningsrater. Disse overlevelsestabeller er indlagt, så de håndterer de konkret</w:t>
      </w:r>
      <w:r w:rsidR="00144144">
        <w:t>e</w:t>
      </w:r>
      <w:r w:rsidR="00641CCA">
        <w:t xml:space="preserve"> årgange af bilerne. Det sikrer</w:t>
      </w:r>
      <w:r w:rsidR="00144144">
        <w:t xml:space="preserve">, at </w:t>
      </w:r>
      <w:r w:rsidR="00711056">
        <w:t xml:space="preserve">modellen </w:t>
      </w:r>
      <w:r w:rsidR="005920FE">
        <w:t xml:space="preserve">for </w:t>
      </w:r>
      <w:r w:rsidR="00464BD8">
        <w:t>fremtidige år (efter 2021) får de rigtige sammensætninger af nye og ældre biler til sammenvægtningerne</w:t>
      </w:r>
      <w:r w:rsidR="0094758E">
        <w:t xml:space="preserve"> af kørselsomkostningerne.</w:t>
      </w:r>
    </w:p>
    <w:p w14:paraId="70616366" w14:textId="231B137B" w:rsidR="00EC7899" w:rsidRDefault="00EC7899" w:rsidP="00AB1BA5">
      <w:pPr>
        <w:pStyle w:val="Heading2"/>
      </w:pPr>
      <w:bookmarkStart w:id="11" w:name="_Toc88834868"/>
      <w:r>
        <w:t>Alder</w:t>
      </w:r>
      <w:bookmarkEnd w:id="11"/>
    </w:p>
    <w:p w14:paraId="5104810E" w14:textId="77777777" w:rsidR="00EC7899" w:rsidRDefault="00EC7899" w:rsidP="00EC7899">
      <w:pPr>
        <w:pStyle w:val="BodyText"/>
      </w:pPr>
      <w:r>
        <w:t>På baggrund af aldersfordelingerne beregnet ud fra skrotningsmodellerne beskrevet i det foregående, kan man beregne den gennemsnitlige levetid ved følgende formel.</w:t>
      </w:r>
    </w:p>
    <w:p w14:paraId="34D7CEA7" w14:textId="77777777" w:rsidR="00EC7899" w:rsidRDefault="00EC7899" w:rsidP="00EC7899">
      <w:pPr>
        <w:pStyle w:val="BodyText"/>
      </w:pPr>
      <m:oMathPara>
        <m:oMath>
          <m:r>
            <w:rPr>
              <w:rFonts w:ascii="Cambria Math" w:hAnsi="Cambria Math"/>
              <w:sz w:val="24"/>
              <w:szCs w:val="24"/>
            </w:rPr>
            <w:lastRenderedPageBreak/>
            <m:t>Levetid=</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a</m:t>
                  </m:r>
                </m:sub>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a</m:t>
                      </m:r>
                    </m:sub>
                  </m:sSub>
                  <m:r>
                    <w:rPr>
                      <w:rFonts w:ascii="Cambria Math" w:hAnsi="Cambria Math"/>
                      <w:sz w:val="24"/>
                      <w:szCs w:val="24"/>
                    </w:rPr>
                    <m:t>-</m:t>
                  </m:r>
                </m:e>
              </m:nary>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a+1</m:t>
                  </m:r>
                </m:sub>
              </m:sSub>
              <m:r>
                <w:rPr>
                  <w:rFonts w:ascii="Cambria Math" w:hAnsi="Cambria Math"/>
                  <w:sz w:val="24"/>
                  <w:szCs w:val="24"/>
                </w:rPr>
                <m:t>)*a</m:t>
              </m:r>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den>
          </m:f>
        </m:oMath>
      </m:oMathPara>
    </w:p>
    <w:p w14:paraId="561FAAF8" w14:textId="10EF2782" w:rsidR="00EC7899" w:rsidRDefault="00EC7899" w:rsidP="00EC7899">
      <w:pPr>
        <w:pStyle w:val="BodyText"/>
      </w:pPr>
      <w:r w:rsidRPr="00DF398A">
        <w:rPr>
          <w:i/>
        </w:rPr>
        <w:t>N</w:t>
      </w:r>
      <w:r w:rsidRPr="00DF398A">
        <w:rPr>
          <w:i/>
          <w:vertAlign w:val="subscript"/>
        </w:rPr>
        <w:t>a</w:t>
      </w:r>
      <w:r>
        <w:t xml:space="preserve"> – </w:t>
      </w:r>
      <w:r w:rsidRPr="00DF398A">
        <w:rPr>
          <w:i/>
        </w:rPr>
        <w:t>N</w:t>
      </w:r>
      <w:r w:rsidRPr="00DF398A">
        <w:rPr>
          <w:i/>
          <w:vertAlign w:val="subscript"/>
        </w:rPr>
        <w:t>a+1</w:t>
      </w:r>
      <w:r>
        <w:t xml:space="preserve"> angiver</w:t>
      </w:r>
      <w:r w:rsidR="0094758E">
        <w:t>,</w:t>
      </w:r>
      <w:r>
        <w:t xml:space="preserve"> hvor mange biler der forlader bilparken mellem alder </w:t>
      </w:r>
      <w:r w:rsidRPr="00DF398A">
        <w:rPr>
          <w:i/>
        </w:rPr>
        <w:t>a</w:t>
      </w:r>
      <w:r>
        <w:t xml:space="preserve"> og alder </w:t>
      </w:r>
      <w:r w:rsidRPr="00DF398A">
        <w:rPr>
          <w:i/>
        </w:rPr>
        <w:t>a+1</w:t>
      </w:r>
      <w:r>
        <w:t>. Den gennemsnitlige levetid er lig med det samlede antal leveår fra alle bilerne i denne generation divideret med antallet af nye biler.</w:t>
      </w:r>
    </w:p>
    <w:p w14:paraId="60C71885" w14:textId="3B71887B" w:rsidR="00EC7899" w:rsidRDefault="00EC7899" w:rsidP="00EC7899">
      <w:pPr>
        <w:pStyle w:val="BodyText"/>
      </w:pPr>
      <w:r>
        <w:t>De følgende tabeller viser de således beregnede levetider for køretøjerne i modellen.</w:t>
      </w:r>
    </w:p>
    <w:p w14:paraId="0F9D17A6" w14:textId="3EEAFCCD" w:rsidR="00EC7899" w:rsidRDefault="00EC7899" w:rsidP="00EC7899">
      <w:pPr>
        <w:pStyle w:val="Caption"/>
      </w:pPr>
      <w:r>
        <w:t xml:space="preserve">Tabel </w:t>
      </w:r>
      <w:r w:rsidR="009A42BC">
        <w:fldChar w:fldCharType="begin"/>
      </w:r>
      <w:r w:rsidR="009A42BC">
        <w:instrText xml:space="preserve"> STYLEREF 1 \s </w:instrText>
      </w:r>
      <w:r w:rsidR="009A42BC">
        <w:fldChar w:fldCharType="separate"/>
      </w:r>
      <w:r w:rsidR="00D14571">
        <w:rPr>
          <w:noProof/>
        </w:rPr>
        <w:t>4</w:t>
      </w:r>
      <w:r w:rsidR="009A42BC">
        <w:rPr>
          <w:noProof/>
        </w:rPr>
        <w:fldChar w:fldCharType="end"/>
      </w:r>
      <w:r w:rsidR="00D14571">
        <w:noBreakHyphen/>
      </w:r>
      <w:r w:rsidR="009A42BC">
        <w:fldChar w:fldCharType="begin"/>
      </w:r>
      <w:r w:rsidR="009A42BC">
        <w:instrText xml:space="preserve"> SEQ Tabel \* ARABIC \s 1 </w:instrText>
      </w:r>
      <w:r w:rsidR="009A42BC">
        <w:fldChar w:fldCharType="separate"/>
      </w:r>
      <w:r w:rsidR="00D14571">
        <w:rPr>
          <w:noProof/>
        </w:rPr>
        <w:t>1</w:t>
      </w:r>
      <w:r w:rsidR="009A42BC">
        <w:rPr>
          <w:noProof/>
        </w:rPr>
        <w:fldChar w:fldCharType="end"/>
      </w:r>
      <w:r>
        <w:t xml:space="preserve"> </w:t>
      </w:r>
      <w:r w:rsidR="00DB1FFD">
        <w:tab/>
      </w:r>
      <w:r>
        <w:t>Beregnede levetider for personbiler, antal år</w:t>
      </w:r>
    </w:p>
    <w:tbl>
      <w:tblPr>
        <w:tblStyle w:val="GridTable5Dark-Accent31"/>
        <w:tblW w:w="0" w:type="auto"/>
        <w:tblLayout w:type="fixed"/>
        <w:tblLook w:val="04A0" w:firstRow="1" w:lastRow="0" w:firstColumn="1" w:lastColumn="0" w:noHBand="0" w:noVBand="1"/>
      </w:tblPr>
      <w:tblGrid>
        <w:gridCol w:w="2446"/>
        <w:gridCol w:w="2446"/>
        <w:gridCol w:w="2446"/>
      </w:tblGrid>
      <w:tr w:rsidR="00EC7899" w:rsidRPr="00044AE6" w14:paraId="24402C12" w14:textId="77777777" w:rsidTr="00F36A10">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vAlign w:val="center"/>
            <w:hideMark/>
          </w:tcPr>
          <w:p w14:paraId="18A0F12E" w14:textId="77777777" w:rsidR="00EC7899" w:rsidRPr="004C109E" w:rsidRDefault="00EC7899" w:rsidP="00F36A10">
            <w:pPr>
              <w:pStyle w:val="BodyText"/>
            </w:pPr>
          </w:p>
        </w:tc>
        <w:tc>
          <w:tcPr>
            <w:tcW w:w="2446" w:type="dxa"/>
            <w:noWrap/>
            <w:vAlign w:val="center"/>
            <w:hideMark/>
          </w:tcPr>
          <w:p w14:paraId="71513C30" w14:textId="77777777" w:rsidR="00EC7899" w:rsidRPr="00044AE6" w:rsidRDefault="00EC7899" w:rsidP="00F36A10">
            <w:pPr>
              <w:pStyle w:val="BodyText"/>
              <w:jc w:val="center"/>
              <w:cnfStyle w:val="100000000000" w:firstRow="1" w:lastRow="0" w:firstColumn="0" w:lastColumn="0" w:oddVBand="0" w:evenVBand="0" w:oddHBand="0" w:evenHBand="0" w:firstRowFirstColumn="0" w:firstRowLastColumn="0" w:lastRowFirstColumn="0" w:lastRowLastColumn="0"/>
            </w:pPr>
            <w:r w:rsidRPr="00044AE6">
              <w:t>Benzin</w:t>
            </w:r>
          </w:p>
        </w:tc>
        <w:tc>
          <w:tcPr>
            <w:tcW w:w="2446" w:type="dxa"/>
            <w:noWrap/>
            <w:vAlign w:val="center"/>
            <w:hideMark/>
          </w:tcPr>
          <w:p w14:paraId="547EEC68" w14:textId="77777777" w:rsidR="00EC7899" w:rsidRPr="00044AE6" w:rsidRDefault="00EC7899" w:rsidP="00F36A10">
            <w:pPr>
              <w:pStyle w:val="BodyText"/>
              <w:jc w:val="center"/>
              <w:cnfStyle w:val="100000000000" w:firstRow="1" w:lastRow="0" w:firstColumn="0" w:lastColumn="0" w:oddVBand="0" w:evenVBand="0" w:oddHBand="0" w:evenHBand="0" w:firstRowFirstColumn="0" w:firstRowLastColumn="0" w:lastRowFirstColumn="0" w:lastRowLastColumn="0"/>
            </w:pPr>
            <w:r w:rsidRPr="00044AE6">
              <w:t>Diesel</w:t>
            </w:r>
          </w:p>
        </w:tc>
      </w:tr>
      <w:tr w:rsidR="00EC7899" w:rsidRPr="00044AE6" w14:paraId="5D69F0B8" w14:textId="77777777" w:rsidTr="00F36A10">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vAlign w:val="center"/>
            <w:hideMark/>
          </w:tcPr>
          <w:p w14:paraId="4CE783A8" w14:textId="7748BFA0" w:rsidR="00EC7899" w:rsidRPr="00044AE6" w:rsidRDefault="00AA5D1E" w:rsidP="00F36A10">
            <w:pPr>
              <w:pStyle w:val="BodyText"/>
            </w:pPr>
            <w:r w:rsidRPr="00044AE6">
              <w:t>Mini</w:t>
            </w:r>
          </w:p>
        </w:tc>
        <w:tc>
          <w:tcPr>
            <w:tcW w:w="2446" w:type="dxa"/>
            <w:noWrap/>
            <w:vAlign w:val="center"/>
            <w:hideMark/>
          </w:tcPr>
          <w:p w14:paraId="68B2AB0E" w14:textId="77777777" w:rsidR="00EC7899" w:rsidRPr="00044AE6" w:rsidRDefault="00EC7899"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044AE6">
              <w:t>16,2</w:t>
            </w:r>
          </w:p>
        </w:tc>
        <w:tc>
          <w:tcPr>
            <w:tcW w:w="2446" w:type="dxa"/>
            <w:noWrap/>
            <w:vAlign w:val="center"/>
            <w:hideMark/>
          </w:tcPr>
          <w:p w14:paraId="29592EED" w14:textId="77777777" w:rsidR="00EC7899" w:rsidRPr="00044AE6" w:rsidRDefault="00EC7899" w:rsidP="00F36A10">
            <w:pPr>
              <w:pStyle w:val="BodyText"/>
              <w:jc w:val="center"/>
              <w:cnfStyle w:val="000000100000" w:firstRow="0" w:lastRow="0" w:firstColumn="0" w:lastColumn="0" w:oddVBand="0" w:evenVBand="0" w:oddHBand="1" w:evenHBand="0" w:firstRowFirstColumn="0" w:firstRowLastColumn="0" w:lastRowFirstColumn="0" w:lastRowLastColumn="0"/>
            </w:pPr>
          </w:p>
        </w:tc>
      </w:tr>
      <w:tr w:rsidR="00EC7899" w:rsidRPr="00044AE6" w14:paraId="5CA8BE35" w14:textId="77777777" w:rsidTr="00F36A10">
        <w:trPr>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vAlign w:val="center"/>
            <w:hideMark/>
          </w:tcPr>
          <w:p w14:paraId="4444ACA4" w14:textId="197EE643" w:rsidR="00EC7899" w:rsidRPr="00044AE6" w:rsidRDefault="00EC7899" w:rsidP="00F36A10">
            <w:pPr>
              <w:pStyle w:val="BodyText"/>
            </w:pPr>
            <w:r w:rsidRPr="00044AE6">
              <w:t>Lille</w:t>
            </w:r>
          </w:p>
        </w:tc>
        <w:tc>
          <w:tcPr>
            <w:tcW w:w="2446" w:type="dxa"/>
            <w:noWrap/>
            <w:vAlign w:val="center"/>
            <w:hideMark/>
          </w:tcPr>
          <w:p w14:paraId="199FFBB4" w14:textId="77777777" w:rsidR="00EC7899" w:rsidRPr="00044AE6" w:rsidRDefault="00EC7899"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044AE6">
              <w:t>16,6</w:t>
            </w:r>
          </w:p>
        </w:tc>
        <w:tc>
          <w:tcPr>
            <w:tcW w:w="2446" w:type="dxa"/>
            <w:noWrap/>
            <w:vAlign w:val="center"/>
            <w:hideMark/>
          </w:tcPr>
          <w:p w14:paraId="2987DFFD" w14:textId="77777777" w:rsidR="00EC7899" w:rsidRPr="00044AE6" w:rsidRDefault="00EC7899"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044AE6">
              <w:t>16,6</w:t>
            </w:r>
          </w:p>
        </w:tc>
      </w:tr>
      <w:tr w:rsidR="00EC7899" w:rsidRPr="00044AE6" w14:paraId="7275E961" w14:textId="77777777" w:rsidTr="00F36A10">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vAlign w:val="center"/>
            <w:hideMark/>
          </w:tcPr>
          <w:p w14:paraId="5095D42A" w14:textId="77777777" w:rsidR="00EC7899" w:rsidRPr="00044AE6" w:rsidRDefault="00EC7899" w:rsidP="00F36A10">
            <w:pPr>
              <w:pStyle w:val="BodyText"/>
            </w:pPr>
            <w:r w:rsidRPr="00044AE6">
              <w:t>Mellem</w:t>
            </w:r>
          </w:p>
        </w:tc>
        <w:tc>
          <w:tcPr>
            <w:tcW w:w="2446" w:type="dxa"/>
            <w:noWrap/>
            <w:vAlign w:val="center"/>
            <w:hideMark/>
          </w:tcPr>
          <w:p w14:paraId="1EF93217" w14:textId="77777777" w:rsidR="00EC7899" w:rsidRPr="00044AE6" w:rsidRDefault="00EC7899"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044AE6">
              <w:t>17,3</w:t>
            </w:r>
          </w:p>
        </w:tc>
        <w:tc>
          <w:tcPr>
            <w:tcW w:w="2446" w:type="dxa"/>
            <w:noWrap/>
            <w:vAlign w:val="center"/>
            <w:hideMark/>
          </w:tcPr>
          <w:p w14:paraId="5903663C" w14:textId="77777777" w:rsidR="00EC7899" w:rsidRPr="00044AE6" w:rsidRDefault="00EC7899"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044AE6">
              <w:t>17,3</w:t>
            </w:r>
          </w:p>
        </w:tc>
      </w:tr>
      <w:tr w:rsidR="00EC7899" w:rsidRPr="00044AE6" w14:paraId="1B436E39" w14:textId="77777777" w:rsidTr="00F36A10">
        <w:trPr>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vAlign w:val="center"/>
            <w:hideMark/>
          </w:tcPr>
          <w:p w14:paraId="3087296C" w14:textId="77777777" w:rsidR="00EC7899" w:rsidRPr="00044AE6" w:rsidRDefault="00EC7899" w:rsidP="00F36A10">
            <w:pPr>
              <w:pStyle w:val="BodyText"/>
            </w:pPr>
            <w:r w:rsidRPr="00044AE6">
              <w:t>Stor</w:t>
            </w:r>
          </w:p>
        </w:tc>
        <w:tc>
          <w:tcPr>
            <w:tcW w:w="2446" w:type="dxa"/>
            <w:noWrap/>
            <w:vAlign w:val="center"/>
            <w:hideMark/>
          </w:tcPr>
          <w:p w14:paraId="4C4CDF63" w14:textId="77777777" w:rsidR="00EC7899" w:rsidRPr="00044AE6" w:rsidRDefault="00EC7899"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044AE6">
              <w:t>16,2</w:t>
            </w:r>
          </w:p>
        </w:tc>
        <w:tc>
          <w:tcPr>
            <w:tcW w:w="2446" w:type="dxa"/>
            <w:noWrap/>
            <w:vAlign w:val="center"/>
            <w:hideMark/>
          </w:tcPr>
          <w:p w14:paraId="3C22B9EC" w14:textId="77777777" w:rsidR="00EC7899" w:rsidRPr="00044AE6" w:rsidRDefault="00EC7899"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044AE6">
              <w:t>16,2</w:t>
            </w:r>
          </w:p>
        </w:tc>
      </w:tr>
    </w:tbl>
    <w:p w14:paraId="04E8523C" w14:textId="15467356" w:rsidR="00EC7899" w:rsidRPr="00F524F1" w:rsidRDefault="00EC7899" w:rsidP="002231DE">
      <w:pPr>
        <w:pStyle w:val="Caption"/>
        <w:rPr>
          <w:szCs w:val="18"/>
        </w:rPr>
      </w:pPr>
      <w:r w:rsidRPr="00D316E9">
        <w:t xml:space="preserve">Note: På grund </w:t>
      </w:r>
      <w:r w:rsidRPr="00F524F1">
        <w:rPr>
          <w:szCs w:val="18"/>
        </w:rPr>
        <w:t>af ændret dieselandel over tid, er det valgt at slå benzin og dieselbiler sammen. Derfor er der samme levetid på diesel og benzinbiler.</w:t>
      </w:r>
    </w:p>
    <w:p w14:paraId="5FA76CE3" w14:textId="4CD34159" w:rsidR="00EC7899" w:rsidRPr="00044AE6" w:rsidRDefault="00EC7899" w:rsidP="00EC7899">
      <w:pPr>
        <w:pStyle w:val="Caption"/>
      </w:pPr>
      <w:r w:rsidRPr="00044AE6">
        <w:t xml:space="preserve">Tabel </w:t>
      </w:r>
      <w:r w:rsidR="009A42BC">
        <w:fldChar w:fldCharType="begin"/>
      </w:r>
      <w:r w:rsidR="009A42BC">
        <w:instrText xml:space="preserve"> STYLEREF 1 \s </w:instrText>
      </w:r>
      <w:r w:rsidR="009A42BC">
        <w:fldChar w:fldCharType="separate"/>
      </w:r>
      <w:r w:rsidR="00D14571" w:rsidRPr="00044AE6">
        <w:rPr>
          <w:noProof/>
        </w:rPr>
        <w:t>4</w:t>
      </w:r>
      <w:r w:rsidR="009A42BC">
        <w:rPr>
          <w:noProof/>
        </w:rPr>
        <w:fldChar w:fldCharType="end"/>
      </w:r>
      <w:r w:rsidR="00D14571" w:rsidRPr="00044AE6">
        <w:noBreakHyphen/>
      </w:r>
      <w:r w:rsidR="009A42BC">
        <w:fldChar w:fldCharType="begin"/>
      </w:r>
      <w:r w:rsidR="009A42BC">
        <w:instrText xml:space="preserve"> SEQ Tabel \* ARABIC \s 1 </w:instrText>
      </w:r>
      <w:r w:rsidR="009A42BC">
        <w:fldChar w:fldCharType="separate"/>
      </w:r>
      <w:r w:rsidR="00D14571" w:rsidRPr="00044AE6">
        <w:rPr>
          <w:noProof/>
        </w:rPr>
        <w:t>2</w:t>
      </w:r>
      <w:r w:rsidR="009A42BC">
        <w:rPr>
          <w:noProof/>
        </w:rPr>
        <w:fldChar w:fldCharType="end"/>
      </w:r>
      <w:r w:rsidRPr="00044AE6">
        <w:t xml:space="preserve"> </w:t>
      </w:r>
      <w:r w:rsidR="00DB1FFD">
        <w:tab/>
      </w:r>
      <w:r w:rsidRPr="00044AE6">
        <w:t>Beregnede levetider for varebiler, antal år</w:t>
      </w:r>
    </w:p>
    <w:tbl>
      <w:tblPr>
        <w:tblStyle w:val="GridTable5Dark-Accent31"/>
        <w:tblW w:w="0" w:type="auto"/>
        <w:tblLayout w:type="fixed"/>
        <w:tblLook w:val="04A0" w:firstRow="1" w:lastRow="0" w:firstColumn="1" w:lastColumn="0" w:noHBand="0" w:noVBand="1"/>
      </w:tblPr>
      <w:tblGrid>
        <w:gridCol w:w="2446"/>
        <w:gridCol w:w="2446"/>
        <w:gridCol w:w="2446"/>
      </w:tblGrid>
      <w:tr w:rsidR="00EC7899" w:rsidRPr="00044AE6" w14:paraId="3DC79600" w14:textId="77777777" w:rsidTr="00F36A10">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vAlign w:val="center"/>
            <w:hideMark/>
          </w:tcPr>
          <w:p w14:paraId="350916EF" w14:textId="77777777" w:rsidR="00EC7899" w:rsidRPr="00044AE6" w:rsidRDefault="00EC7899" w:rsidP="00F36A10">
            <w:pPr>
              <w:pStyle w:val="BodyText"/>
            </w:pPr>
          </w:p>
        </w:tc>
        <w:tc>
          <w:tcPr>
            <w:tcW w:w="2446" w:type="dxa"/>
            <w:noWrap/>
            <w:vAlign w:val="center"/>
            <w:hideMark/>
          </w:tcPr>
          <w:p w14:paraId="38C199D4" w14:textId="77777777" w:rsidR="00EC7899" w:rsidRPr="00044AE6" w:rsidRDefault="00EC7899" w:rsidP="00F36A10">
            <w:pPr>
              <w:pStyle w:val="BodyText"/>
              <w:jc w:val="center"/>
              <w:cnfStyle w:val="100000000000" w:firstRow="1" w:lastRow="0" w:firstColumn="0" w:lastColumn="0" w:oddVBand="0" w:evenVBand="0" w:oddHBand="0" w:evenHBand="0" w:firstRowFirstColumn="0" w:firstRowLastColumn="0" w:lastRowFirstColumn="0" w:lastRowLastColumn="0"/>
            </w:pPr>
            <w:r w:rsidRPr="00044AE6">
              <w:t>Benzin</w:t>
            </w:r>
          </w:p>
        </w:tc>
        <w:tc>
          <w:tcPr>
            <w:tcW w:w="2446" w:type="dxa"/>
            <w:noWrap/>
            <w:vAlign w:val="center"/>
            <w:hideMark/>
          </w:tcPr>
          <w:p w14:paraId="76372D08" w14:textId="77777777" w:rsidR="00EC7899" w:rsidRPr="00044AE6" w:rsidRDefault="00EC7899" w:rsidP="00F36A10">
            <w:pPr>
              <w:pStyle w:val="BodyText"/>
              <w:jc w:val="center"/>
              <w:cnfStyle w:val="100000000000" w:firstRow="1" w:lastRow="0" w:firstColumn="0" w:lastColumn="0" w:oddVBand="0" w:evenVBand="0" w:oddHBand="0" w:evenHBand="0" w:firstRowFirstColumn="0" w:firstRowLastColumn="0" w:lastRowFirstColumn="0" w:lastRowLastColumn="0"/>
            </w:pPr>
            <w:r w:rsidRPr="00044AE6">
              <w:t>Diesel</w:t>
            </w:r>
          </w:p>
        </w:tc>
      </w:tr>
      <w:tr w:rsidR="00EC7899" w:rsidRPr="00044AE6" w14:paraId="79585277" w14:textId="77777777" w:rsidTr="00F36A10">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hideMark/>
          </w:tcPr>
          <w:p w14:paraId="2CD24ED9" w14:textId="77777777" w:rsidR="00EC7899" w:rsidRPr="00044AE6" w:rsidRDefault="00EC7899" w:rsidP="00F36A10">
            <w:pPr>
              <w:pStyle w:val="BodyText"/>
              <w:rPr>
                <w:color w:val="auto"/>
              </w:rPr>
            </w:pPr>
            <w:r w:rsidRPr="00044AE6">
              <w:rPr>
                <w:color w:val="auto"/>
              </w:rPr>
              <w:t>&lt;= 2000 kg</w:t>
            </w:r>
          </w:p>
        </w:tc>
        <w:tc>
          <w:tcPr>
            <w:tcW w:w="2446" w:type="dxa"/>
            <w:noWrap/>
            <w:vAlign w:val="center"/>
            <w:hideMark/>
          </w:tcPr>
          <w:p w14:paraId="1B27B44D" w14:textId="77777777" w:rsidR="00EC7899" w:rsidRPr="00044AE6" w:rsidRDefault="00EC7899"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044AE6">
              <w:t>14,9</w:t>
            </w:r>
          </w:p>
        </w:tc>
        <w:tc>
          <w:tcPr>
            <w:tcW w:w="2446" w:type="dxa"/>
            <w:noWrap/>
            <w:vAlign w:val="center"/>
            <w:hideMark/>
          </w:tcPr>
          <w:p w14:paraId="5D3C9CCD" w14:textId="77777777" w:rsidR="00EC7899" w:rsidRPr="00044AE6" w:rsidRDefault="00EC7899"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044AE6">
              <w:t>13,4</w:t>
            </w:r>
          </w:p>
        </w:tc>
      </w:tr>
      <w:tr w:rsidR="00EC7899" w:rsidRPr="00044AE6" w14:paraId="09BA162A" w14:textId="77777777" w:rsidTr="00F36A10">
        <w:trPr>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hideMark/>
          </w:tcPr>
          <w:p w14:paraId="4C6091F2" w14:textId="77777777" w:rsidR="00EC7899" w:rsidRPr="00044AE6" w:rsidRDefault="00EC7899" w:rsidP="00F36A10">
            <w:pPr>
              <w:pStyle w:val="BodyText"/>
              <w:rPr>
                <w:color w:val="auto"/>
              </w:rPr>
            </w:pPr>
            <w:r w:rsidRPr="00044AE6">
              <w:rPr>
                <w:color w:val="auto"/>
              </w:rPr>
              <w:t>2000 – 3000 kg</w:t>
            </w:r>
          </w:p>
        </w:tc>
        <w:tc>
          <w:tcPr>
            <w:tcW w:w="2446" w:type="dxa"/>
            <w:noWrap/>
            <w:vAlign w:val="center"/>
            <w:hideMark/>
          </w:tcPr>
          <w:p w14:paraId="2FCBCE5A" w14:textId="77777777" w:rsidR="00EC7899" w:rsidRPr="00044AE6" w:rsidRDefault="00EC7899"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044AE6">
              <w:t>14,9</w:t>
            </w:r>
          </w:p>
        </w:tc>
        <w:tc>
          <w:tcPr>
            <w:tcW w:w="2446" w:type="dxa"/>
            <w:noWrap/>
            <w:vAlign w:val="center"/>
            <w:hideMark/>
          </w:tcPr>
          <w:p w14:paraId="38B81994" w14:textId="77777777" w:rsidR="00EC7899" w:rsidRPr="00044AE6" w:rsidRDefault="00EC7899"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044AE6">
              <w:t>13,4</w:t>
            </w:r>
          </w:p>
        </w:tc>
      </w:tr>
      <w:tr w:rsidR="00EC7899" w:rsidRPr="00044AE6" w14:paraId="219FAC82" w14:textId="77777777" w:rsidTr="008D0840">
        <w:trPr>
          <w:cnfStyle w:val="000000100000" w:firstRow="0" w:lastRow="0" w:firstColumn="0" w:lastColumn="0" w:oddVBand="0" w:evenVBand="0" w:oddHBand="1" w:evenHBand="0" w:firstRowFirstColumn="0" w:firstRowLastColumn="0" w:lastRowFirstColumn="0" w:lastRowLastColumn="0"/>
          <w:trHeight w:hRule="exact" w:val="483"/>
        </w:trPr>
        <w:tc>
          <w:tcPr>
            <w:cnfStyle w:val="001000000000" w:firstRow="0" w:lastRow="0" w:firstColumn="1" w:lastColumn="0" w:oddVBand="0" w:evenVBand="0" w:oddHBand="0" w:evenHBand="0" w:firstRowFirstColumn="0" w:firstRowLastColumn="0" w:lastRowFirstColumn="0" w:lastRowLastColumn="0"/>
            <w:tcW w:w="2446" w:type="dxa"/>
            <w:noWrap/>
            <w:hideMark/>
          </w:tcPr>
          <w:p w14:paraId="42F1031A" w14:textId="77777777" w:rsidR="00EC7899" w:rsidRPr="00044AE6" w:rsidRDefault="00EC7899" w:rsidP="00F36A10">
            <w:pPr>
              <w:pStyle w:val="BodyText"/>
              <w:rPr>
                <w:color w:val="auto"/>
              </w:rPr>
            </w:pPr>
            <w:r w:rsidRPr="00044AE6">
              <w:rPr>
                <w:color w:val="auto"/>
              </w:rPr>
              <w:t>&gt; 3000 kg</w:t>
            </w:r>
          </w:p>
        </w:tc>
        <w:tc>
          <w:tcPr>
            <w:tcW w:w="2446" w:type="dxa"/>
            <w:noWrap/>
            <w:vAlign w:val="center"/>
            <w:hideMark/>
          </w:tcPr>
          <w:p w14:paraId="3310DEFA" w14:textId="77777777" w:rsidR="00EC7899" w:rsidRPr="00044AE6" w:rsidRDefault="00EC7899"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044AE6">
              <w:t>13,7</w:t>
            </w:r>
          </w:p>
        </w:tc>
        <w:tc>
          <w:tcPr>
            <w:tcW w:w="2446" w:type="dxa"/>
            <w:noWrap/>
            <w:vAlign w:val="center"/>
            <w:hideMark/>
          </w:tcPr>
          <w:p w14:paraId="2946F131" w14:textId="77777777" w:rsidR="00EC7899" w:rsidRPr="00044AE6" w:rsidRDefault="00EC7899"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044AE6">
              <w:t>12,9</w:t>
            </w:r>
          </w:p>
        </w:tc>
      </w:tr>
    </w:tbl>
    <w:p w14:paraId="05A9CA8D" w14:textId="77777777" w:rsidR="00EC7899" w:rsidRPr="00044AE6" w:rsidRDefault="00EC7899" w:rsidP="00EC7899">
      <w:pPr>
        <w:pStyle w:val="BodyText"/>
      </w:pPr>
    </w:p>
    <w:p w14:paraId="5DCC3619" w14:textId="77367D05" w:rsidR="00EC7899" w:rsidRPr="00044AE6" w:rsidRDefault="00EC7899" w:rsidP="00EC7899">
      <w:pPr>
        <w:pStyle w:val="Caption"/>
      </w:pPr>
      <w:r w:rsidRPr="00044AE6">
        <w:t xml:space="preserve">Tabel </w:t>
      </w:r>
      <w:r w:rsidR="009A42BC">
        <w:fldChar w:fldCharType="begin"/>
      </w:r>
      <w:r w:rsidR="009A42BC">
        <w:instrText xml:space="preserve"> STYLEREF 1 \s </w:instrText>
      </w:r>
      <w:r w:rsidR="009A42BC">
        <w:fldChar w:fldCharType="separate"/>
      </w:r>
      <w:r w:rsidR="00D14571" w:rsidRPr="00044AE6">
        <w:rPr>
          <w:noProof/>
        </w:rPr>
        <w:t>4</w:t>
      </w:r>
      <w:r w:rsidR="009A42BC">
        <w:rPr>
          <w:noProof/>
        </w:rPr>
        <w:fldChar w:fldCharType="end"/>
      </w:r>
      <w:r w:rsidR="00D14571" w:rsidRPr="00044AE6">
        <w:noBreakHyphen/>
      </w:r>
      <w:r w:rsidR="009A42BC">
        <w:fldChar w:fldCharType="begin"/>
      </w:r>
      <w:r w:rsidR="009A42BC">
        <w:instrText xml:space="preserve"> SEQ Tabel \* ARABIC \s 1 </w:instrText>
      </w:r>
      <w:r w:rsidR="009A42BC">
        <w:fldChar w:fldCharType="separate"/>
      </w:r>
      <w:r w:rsidR="00D14571" w:rsidRPr="00044AE6">
        <w:rPr>
          <w:noProof/>
        </w:rPr>
        <w:t>3</w:t>
      </w:r>
      <w:r w:rsidR="009A42BC">
        <w:rPr>
          <w:noProof/>
        </w:rPr>
        <w:fldChar w:fldCharType="end"/>
      </w:r>
      <w:r w:rsidRPr="00044AE6">
        <w:t xml:space="preserve"> </w:t>
      </w:r>
      <w:r w:rsidR="00DB1FFD">
        <w:tab/>
      </w:r>
      <w:r w:rsidRPr="00044AE6">
        <w:t>Beregnede levetider for lastbiler, antal år</w:t>
      </w:r>
    </w:p>
    <w:tbl>
      <w:tblPr>
        <w:tblStyle w:val="GridTable5Dark-Accent31"/>
        <w:tblW w:w="0" w:type="auto"/>
        <w:tblLayout w:type="fixed"/>
        <w:tblLook w:val="04A0" w:firstRow="1" w:lastRow="0" w:firstColumn="1" w:lastColumn="0" w:noHBand="0" w:noVBand="1"/>
      </w:tblPr>
      <w:tblGrid>
        <w:gridCol w:w="4219"/>
        <w:gridCol w:w="2552"/>
      </w:tblGrid>
      <w:tr w:rsidR="00EC7899" w:rsidRPr="00044AE6" w14:paraId="150CA38D" w14:textId="77777777" w:rsidTr="00F36A10">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7E4443BB" w14:textId="77777777" w:rsidR="00EC7899" w:rsidRPr="00044AE6" w:rsidRDefault="00EC7899" w:rsidP="00F36A10">
            <w:pPr>
              <w:pStyle w:val="BodyText"/>
            </w:pPr>
          </w:p>
        </w:tc>
        <w:tc>
          <w:tcPr>
            <w:tcW w:w="2552" w:type="dxa"/>
            <w:noWrap/>
            <w:vAlign w:val="center"/>
            <w:hideMark/>
          </w:tcPr>
          <w:p w14:paraId="1BE7574B" w14:textId="77777777" w:rsidR="00EC7899" w:rsidRPr="00044AE6" w:rsidRDefault="00EC7899" w:rsidP="00F36A10">
            <w:pPr>
              <w:pStyle w:val="BodyText"/>
              <w:jc w:val="center"/>
              <w:cnfStyle w:val="100000000000" w:firstRow="1" w:lastRow="0" w:firstColumn="0" w:lastColumn="0" w:oddVBand="0" w:evenVBand="0" w:oddHBand="0" w:evenHBand="0" w:firstRowFirstColumn="0" w:firstRowLastColumn="0" w:lastRowFirstColumn="0" w:lastRowLastColumn="0"/>
            </w:pPr>
            <w:r w:rsidRPr="00044AE6">
              <w:t>Diesel</w:t>
            </w:r>
          </w:p>
        </w:tc>
      </w:tr>
      <w:tr w:rsidR="00EC7899" w:rsidRPr="00044AE6" w14:paraId="7ADB1EB1" w14:textId="77777777" w:rsidTr="00F36A10">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219" w:type="dxa"/>
            <w:noWrap/>
            <w:vAlign w:val="bottom"/>
            <w:hideMark/>
          </w:tcPr>
          <w:p w14:paraId="20EB20C1" w14:textId="77777777" w:rsidR="00EC7899" w:rsidRPr="00044AE6" w:rsidRDefault="00EC7899" w:rsidP="00F36A10">
            <w:pPr>
              <w:pStyle w:val="BodyText"/>
              <w:rPr>
                <w:color w:val="auto"/>
              </w:rPr>
            </w:pPr>
            <w:r w:rsidRPr="00044AE6">
              <w:rPr>
                <w:color w:val="auto"/>
              </w:rPr>
              <w:t>Lastbil, uden anhænger, &lt; 12 t</w:t>
            </w:r>
          </w:p>
        </w:tc>
        <w:tc>
          <w:tcPr>
            <w:tcW w:w="2552" w:type="dxa"/>
            <w:noWrap/>
            <w:vAlign w:val="center"/>
            <w:hideMark/>
          </w:tcPr>
          <w:p w14:paraId="77545F5B" w14:textId="77777777" w:rsidR="00EC7899" w:rsidRPr="00044AE6" w:rsidRDefault="00EC7899"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044AE6">
              <w:t>14,8</w:t>
            </w:r>
          </w:p>
        </w:tc>
      </w:tr>
      <w:tr w:rsidR="00EC7899" w:rsidRPr="00044AE6" w14:paraId="2F066215" w14:textId="77777777" w:rsidTr="00F36A10">
        <w:trPr>
          <w:trHeight w:hRule="exact" w:val="397"/>
        </w:trPr>
        <w:tc>
          <w:tcPr>
            <w:cnfStyle w:val="001000000000" w:firstRow="0" w:lastRow="0" w:firstColumn="1" w:lastColumn="0" w:oddVBand="0" w:evenVBand="0" w:oddHBand="0" w:evenHBand="0" w:firstRowFirstColumn="0" w:firstRowLastColumn="0" w:lastRowFirstColumn="0" w:lastRowLastColumn="0"/>
            <w:tcW w:w="4219" w:type="dxa"/>
            <w:noWrap/>
            <w:vAlign w:val="bottom"/>
            <w:hideMark/>
          </w:tcPr>
          <w:p w14:paraId="43355739" w14:textId="77777777" w:rsidR="00EC7899" w:rsidRPr="00044AE6" w:rsidRDefault="00EC7899" w:rsidP="00F36A10">
            <w:pPr>
              <w:pStyle w:val="BodyText"/>
              <w:rPr>
                <w:color w:val="auto"/>
              </w:rPr>
            </w:pPr>
            <w:r w:rsidRPr="00044AE6">
              <w:rPr>
                <w:color w:val="auto"/>
              </w:rPr>
              <w:t>Lastbil, uden anhænger, &gt; 12 t</w:t>
            </w:r>
          </w:p>
        </w:tc>
        <w:tc>
          <w:tcPr>
            <w:tcW w:w="2552" w:type="dxa"/>
            <w:noWrap/>
            <w:vAlign w:val="center"/>
            <w:hideMark/>
          </w:tcPr>
          <w:p w14:paraId="70600756" w14:textId="77777777" w:rsidR="00EC7899" w:rsidRPr="00044AE6" w:rsidRDefault="00EC7899"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044AE6">
              <w:t>13,8</w:t>
            </w:r>
          </w:p>
        </w:tc>
      </w:tr>
      <w:tr w:rsidR="00EC7899" w:rsidRPr="00044AE6" w14:paraId="63E99626" w14:textId="77777777" w:rsidTr="00F36A10">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219" w:type="dxa"/>
            <w:noWrap/>
            <w:vAlign w:val="bottom"/>
            <w:hideMark/>
          </w:tcPr>
          <w:p w14:paraId="22ED9294" w14:textId="77777777" w:rsidR="00EC7899" w:rsidRPr="00044AE6" w:rsidRDefault="00EC7899" w:rsidP="00F36A10">
            <w:pPr>
              <w:pStyle w:val="BodyText"/>
              <w:rPr>
                <w:color w:val="auto"/>
              </w:rPr>
            </w:pPr>
            <w:r w:rsidRPr="00044AE6">
              <w:rPr>
                <w:color w:val="auto"/>
              </w:rPr>
              <w:t>Lastbil, med anhænger</w:t>
            </w:r>
          </w:p>
        </w:tc>
        <w:tc>
          <w:tcPr>
            <w:tcW w:w="2552" w:type="dxa"/>
            <w:noWrap/>
            <w:vAlign w:val="center"/>
            <w:hideMark/>
          </w:tcPr>
          <w:p w14:paraId="0F1CEE2B" w14:textId="77777777" w:rsidR="00EC7899" w:rsidRPr="00044AE6" w:rsidRDefault="00EC7899"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044AE6">
              <w:t>13,8</w:t>
            </w:r>
          </w:p>
        </w:tc>
      </w:tr>
      <w:tr w:rsidR="00EC7899" w:rsidRPr="00044AE6" w14:paraId="72D71DB4" w14:textId="77777777" w:rsidTr="00F36A10">
        <w:trPr>
          <w:trHeight w:hRule="exact" w:val="397"/>
        </w:trPr>
        <w:tc>
          <w:tcPr>
            <w:cnfStyle w:val="001000000000" w:firstRow="0" w:lastRow="0" w:firstColumn="1" w:lastColumn="0" w:oddVBand="0" w:evenVBand="0" w:oddHBand="0" w:evenHBand="0" w:firstRowFirstColumn="0" w:firstRowLastColumn="0" w:lastRowFirstColumn="0" w:lastRowLastColumn="0"/>
            <w:tcW w:w="4219" w:type="dxa"/>
            <w:noWrap/>
            <w:vAlign w:val="bottom"/>
            <w:hideMark/>
          </w:tcPr>
          <w:p w14:paraId="1332284B" w14:textId="77777777" w:rsidR="00EC7899" w:rsidRPr="00044AE6" w:rsidRDefault="00EC7899" w:rsidP="00F36A10">
            <w:pPr>
              <w:pStyle w:val="BodyText"/>
              <w:rPr>
                <w:color w:val="auto"/>
              </w:rPr>
            </w:pPr>
            <w:r w:rsidRPr="00044AE6">
              <w:rPr>
                <w:color w:val="auto"/>
              </w:rPr>
              <w:t>Trækker</w:t>
            </w:r>
          </w:p>
        </w:tc>
        <w:tc>
          <w:tcPr>
            <w:tcW w:w="2552" w:type="dxa"/>
            <w:noWrap/>
            <w:vAlign w:val="center"/>
            <w:hideMark/>
          </w:tcPr>
          <w:p w14:paraId="06407BB9" w14:textId="77777777" w:rsidR="00EC7899" w:rsidRPr="00044AE6" w:rsidRDefault="00EC7899"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044AE6">
              <w:t>10,5</w:t>
            </w:r>
          </w:p>
        </w:tc>
      </w:tr>
    </w:tbl>
    <w:p w14:paraId="419B76C1" w14:textId="77777777" w:rsidR="00EC7899" w:rsidRDefault="00EC7899" w:rsidP="002231DE">
      <w:pPr>
        <w:pStyle w:val="Caption"/>
        <w:rPr>
          <w:i w:val="0"/>
          <w:szCs w:val="18"/>
        </w:rPr>
      </w:pPr>
      <w:r w:rsidRPr="00044AE6">
        <w:t>Note: Lastbil uden anhænger &gt; 12 t og lastbil med anhænger</w:t>
      </w:r>
      <w:r w:rsidRPr="00044AE6">
        <w:rPr>
          <w:i w:val="0"/>
          <w:szCs w:val="18"/>
        </w:rPr>
        <w:t xml:space="preserve"> er den samme </w:t>
      </w:r>
      <w:proofErr w:type="spellStart"/>
      <w:r w:rsidRPr="00044AE6">
        <w:rPr>
          <w:i w:val="0"/>
          <w:szCs w:val="18"/>
        </w:rPr>
        <w:t>forvogn</w:t>
      </w:r>
      <w:proofErr w:type="spellEnd"/>
      <w:r w:rsidRPr="00044AE6">
        <w:rPr>
          <w:i w:val="0"/>
          <w:szCs w:val="18"/>
        </w:rPr>
        <w:t xml:space="preserve"> og derfor også samme levetid.</w:t>
      </w:r>
    </w:p>
    <w:p w14:paraId="478C4B15" w14:textId="49C731C8" w:rsidR="0094758E" w:rsidRPr="0094758E" w:rsidRDefault="0094758E" w:rsidP="0094758E">
      <w:pPr>
        <w:pStyle w:val="BodyText"/>
      </w:pPr>
      <w:r>
        <w:t xml:space="preserve">Levetiderne er ikke </w:t>
      </w:r>
      <w:r w:rsidR="00CD4175">
        <w:t xml:space="preserve">ændret </w:t>
      </w:r>
      <w:r>
        <w:t xml:space="preserve">til nærværende </w:t>
      </w:r>
      <w:r w:rsidR="00CD4175">
        <w:t>opdatering.</w:t>
      </w:r>
    </w:p>
    <w:p w14:paraId="0D8DAFC7" w14:textId="6873EFD9" w:rsidR="007B1271" w:rsidRPr="007B1271" w:rsidRDefault="00EC7899" w:rsidP="007B1271">
      <w:pPr>
        <w:pStyle w:val="Heading2"/>
      </w:pPr>
      <w:bookmarkStart w:id="12" w:name="_Toc88834869"/>
      <w:r>
        <w:t>Samlet levetidskørsel</w:t>
      </w:r>
      <w:bookmarkEnd w:id="12"/>
    </w:p>
    <w:p w14:paraId="0BEAB7EF" w14:textId="03355502" w:rsidR="004A413C" w:rsidRPr="004A413C" w:rsidRDefault="00107993" w:rsidP="004A413C">
      <w:pPr>
        <w:pStyle w:val="BodyText"/>
      </w:pPr>
      <w:r>
        <w:t>Der er i opdatering</w:t>
      </w:r>
      <w:r w:rsidR="00CD4175">
        <w:t>en</w:t>
      </w:r>
      <w:r>
        <w:t xml:space="preserve"> af modellen anvendt de samme levetid</w:t>
      </w:r>
      <w:r w:rsidR="00454996">
        <w:t>skørsler, som i den tidligere model</w:t>
      </w:r>
      <w:r w:rsidR="00967ABA">
        <w:t xml:space="preserve"> fra 2019</w:t>
      </w:r>
      <w:r w:rsidR="00454996">
        <w:t xml:space="preserve">. For elbiler og </w:t>
      </w:r>
      <w:r w:rsidR="00D33D2E">
        <w:t>plugin-</w:t>
      </w:r>
      <w:r w:rsidR="009245C0">
        <w:t xml:space="preserve">hybridbiler anvendes </w:t>
      </w:r>
      <w:r w:rsidR="00891B53">
        <w:t>samme levetidskørsel som for benzinbiler. I det følgende beskrives, hvordan levetidskørslen blev beregnet i den foregående model</w:t>
      </w:r>
    </w:p>
    <w:p w14:paraId="3F5F2C4B" w14:textId="38844A55" w:rsidR="00EC7899" w:rsidRDefault="00EC7899" w:rsidP="00EC7899">
      <w:pPr>
        <w:pStyle w:val="BodyText"/>
      </w:pPr>
      <w:r>
        <w:lastRenderedPageBreak/>
        <w:t xml:space="preserve">Levetidskørslen er beregnet ved at kombinere den modelberegnede aldersfordeling med de observerede årskørsler for biler med synsdata. </w:t>
      </w:r>
    </w:p>
    <w:p w14:paraId="42C53AAA" w14:textId="7851ED1C" w:rsidR="00EC7899" w:rsidDel="00BE5194" w:rsidRDefault="00EC7899" w:rsidP="00EC7899">
      <w:pPr>
        <w:pStyle w:val="BodyText"/>
      </w:pPr>
      <w:r w:rsidDel="00BE5194">
        <w:t xml:space="preserve">Årskørsel for benzinbilerne i datamateriale for biler med synsdata er vist i </w:t>
      </w:r>
      <w:r w:rsidRPr="004A413C" w:rsidDel="00BE5194">
        <w:fldChar w:fldCharType="begin"/>
      </w:r>
      <w:r w:rsidRPr="004A413C" w:rsidDel="00BE5194">
        <w:instrText xml:space="preserve"> REF _Ref447350217 \h </w:instrText>
      </w:r>
      <w:r w:rsidR="005F1280" w:rsidRPr="004A413C" w:rsidDel="00BE5194">
        <w:instrText xml:space="preserve"> \* MERGEFORMAT </w:instrText>
      </w:r>
      <w:r w:rsidRPr="004A413C" w:rsidDel="00BE5194">
        <w:fldChar w:fldCharType="separate"/>
      </w:r>
      <w:r w:rsidRPr="004A413C" w:rsidDel="00BE5194">
        <w:t>Figur 4</w:t>
      </w:r>
      <w:r w:rsidRPr="004A413C" w:rsidDel="00BE5194">
        <w:noBreakHyphen/>
        <w:t>4</w:t>
      </w:r>
      <w:r w:rsidRPr="004A413C" w:rsidDel="00BE5194">
        <w:fldChar w:fldCharType="end"/>
      </w:r>
      <w:r w:rsidRPr="004A413C" w:rsidDel="00BE5194">
        <w:t>.</w:t>
      </w:r>
      <w:r w:rsidDel="00BE5194">
        <w:t xml:space="preserve"> Ved beregning af levetidskørsel er bilernes årskørsel opdelt på niveau 2, dvs</w:t>
      </w:r>
      <w:r w:rsidR="00B905B8" w:rsidDel="00BE5194">
        <w:t>.</w:t>
      </w:r>
      <w:r w:rsidDel="00BE5194">
        <w:t xml:space="preserve"> brændstof og størrelse. Der skelnes mellem diesel og benzin, idet dieselbilerne har betydeligt højere årskørsler sammenlignet med benzinbiler. Baggrunden for</w:t>
      </w:r>
      <w:r w:rsidR="00B905B8" w:rsidDel="00BE5194">
        <w:t>,</w:t>
      </w:r>
      <w:r w:rsidDel="00BE5194">
        <w:t xml:space="preserve"> at diesel har højere årskørsel er</w:t>
      </w:r>
      <w:r w:rsidR="005F1280" w:rsidDel="00BE5194">
        <w:t>,</w:t>
      </w:r>
      <w:r w:rsidDel="00BE5194">
        <w:t xml:space="preserve"> at de kører længere på literen og samtidig er dyrere i anskaffelse. Derfor er dieselbilerne det mest økonomiske alternativ for personer</w:t>
      </w:r>
      <w:r w:rsidR="00B905B8" w:rsidDel="00BE5194">
        <w:t>,</w:t>
      </w:r>
      <w:r w:rsidDel="00BE5194">
        <w:t xml:space="preserve"> der kører langt.</w:t>
      </w:r>
    </w:p>
    <w:p w14:paraId="5B6F9C03" w14:textId="00670DE6" w:rsidR="003C742C" w:rsidRPr="004A413C" w:rsidDel="00BE5194" w:rsidRDefault="003C742C" w:rsidP="003C742C">
      <w:pPr>
        <w:pStyle w:val="Caption"/>
        <w:keepNext/>
      </w:pPr>
      <w:r w:rsidRPr="004A413C" w:rsidDel="00BE5194">
        <w:t xml:space="preserve">Figur </w:t>
      </w:r>
      <w:r w:rsidR="009A42BC">
        <w:fldChar w:fldCharType="begin"/>
      </w:r>
      <w:r w:rsidR="009A42BC">
        <w:instrText xml:space="preserve"> STYLEREF 1 \s </w:instrText>
      </w:r>
      <w:r w:rsidR="009A42BC">
        <w:fldChar w:fldCharType="separate"/>
      </w:r>
      <w:r w:rsidRPr="004A413C" w:rsidDel="00BE5194">
        <w:t>4</w:t>
      </w:r>
      <w:r w:rsidR="009A42BC">
        <w:fldChar w:fldCharType="end"/>
      </w:r>
      <w:r w:rsidRPr="004A413C" w:rsidDel="00BE5194">
        <w:noBreakHyphen/>
      </w:r>
      <w:r w:rsidR="009A42BC">
        <w:fldChar w:fldCharType="begin"/>
      </w:r>
      <w:r w:rsidR="009A42BC">
        <w:instrText xml:space="preserve"> SEQ Figur \* ARABIC \s 1 </w:instrText>
      </w:r>
      <w:r w:rsidR="009A42BC">
        <w:fldChar w:fldCharType="separate"/>
      </w:r>
      <w:r w:rsidRPr="004A413C" w:rsidDel="00BE5194">
        <w:t>3</w:t>
      </w:r>
      <w:r w:rsidR="009A42BC">
        <w:fldChar w:fldCharType="end"/>
      </w:r>
      <w:r w:rsidRPr="004A413C" w:rsidDel="00BE5194">
        <w:t xml:space="preserve"> </w:t>
      </w:r>
      <w:r w:rsidR="00DB1FFD">
        <w:tab/>
      </w:r>
      <w:r w:rsidRPr="004A413C" w:rsidDel="00BE5194">
        <w:t>Årskørsel for benzin- og dieseldrevne personbiler med synsdata</w:t>
      </w:r>
    </w:p>
    <w:p w14:paraId="63C0F9AD" w14:textId="2223E5A9" w:rsidR="003C742C" w:rsidRPr="004A413C" w:rsidDel="00BE5194" w:rsidRDefault="003C742C" w:rsidP="003C742C">
      <w:pPr>
        <w:pStyle w:val="BodyText"/>
        <w:spacing w:after="0"/>
      </w:pPr>
      <w:r w:rsidRPr="004A413C" w:rsidDel="00BE5194">
        <w:rPr>
          <w:noProof/>
        </w:rPr>
        <w:drawing>
          <wp:inline distT="0" distB="0" distL="0" distR="0" wp14:anchorId="01AE94B4" wp14:editId="218B6FBF">
            <wp:extent cx="4237990" cy="24885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7990" cy="2488565"/>
                    </a:xfrm>
                    <a:prstGeom prst="rect">
                      <a:avLst/>
                    </a:prstGeom>
                    <a:noFill/>
                    <a:ln>
                      <a:noFill/>
                    </a:ln>
                  </pic:spPr>
                </pic:pic>
              </a:graphicData>
            </a:graphic>
          </wp:inline>
        </w:drawing>
      </w:r>
    </w:p>
    <w:p w14:paraId="7D3752D6" w14:textId="47362B45" w:rsidR="003C742C" w:rsidRPr="004A413C" w:rsidDel="00BE5194" w:rsidRDefault="003C742C" w:rsidP="00FC5379">
      <w:pPr>
        <w:pStyle w:val="Caption"/>
      </w:pPr>
      <w:r w:rsidRPr="004A413C" w:rsidDel="00BE5194">
        <w:t>Note: For årene 2012-2015 er årskørslen beregnet på baggrund af årskørslen forhøjet med faktorer som beregnet af vejdirektoratet</w:t>
      </w:r>
    </w:p>
    <w:p w14:paraId="4E71D8A6" w14:textId="643B682E" w:rsidR="003C742C" w:rsidRPr="004A413C" w:rsidDel="00BE5194" w:rsidRDefault="003C742C" w:rsidP="003C742C">
      <w:pPr>
        <w:pStyle w:val="BodyText"/>
      </w:pPr>
      <w:r w:rsidRPr="004A413C" w:rsidDel="00BE5194">
        <w:t>Derudover er der også opdelt efter størrelse, idet større biler har større årskørsel i forhold til mindre biler.</w:t>
      </w:r>
    </w:p>
    <w:p w14:paraId="00912A5B" w14:textId="3FB8FF90" w:rsidR="003C742C" w:rsidRPr="004A413C" w:rsidDel="00BE5194" w:rsidRDefault="003C742C" w:rsidP="00FC5379">
      <w:pPr>
        <w:pStyle w:val="Caption"/>
        <w:keepNext/>
        <w:keepLines/>
      </w:pPr>
      <w:bookmarkStart w:id="13" w:name="_Ref447350217"/>
      <w:r w:rsidRPr="004A413C" w:rsidDel="00BE5194">
        <w:t xml:space="preserve">Figur </w:t>
      </w:r>
      <w:r w:rsidR="009A42BC">
        <w:fldChar w:fldCharType="begin"/>
      </w:r>
      <w:r w:rsidR="009A42BC">
        <w:instrText xml:space="preserve"> STYLEREF 1 \s </w:instrText>
      </w:r>
      <w:r w:rsidR="009A42BC">
        <w:fldChar w:fldCharType="separate"/>
      </w:r>
      <w:r w:rsidRPr="004A413C" w:rsidDel="00BE5194">
        <w:t>4</w:t>
      </w:r>
      <w:r w:rsidR="009A42BC">
        <w:fldChar w:fldCharType="end"/>
      </w:r>
      <w:r w:rsidRPr="004A413C" w:rsidDel="00BE5194">
        <w:noBreakHyphen/>
      </w:r>
      <w:r w:rsidR="009A42BC">
        <w:fldChar w:fldCharType="begin"/>
      </w:r>
      <w:r w:rsidR="009A42BC">
        <w:instrText xml:space="preserve"> SEQ Figur \* ARABIC \s 1 </w:instrText>
      </w:r>
      <w:r w:rsidR="009A42BC">
        <w:fldChar w:fldCharType="separate"/>
      </w:r>
      <w:r w:rsidRPr="004A413C" w:rsidDel="00BE5194">
        <w:t>4</w:t>
      </w:r>
      <w:r w:rsidR="009A42BC">
        <w:fldChar w:fldCharType="end"/>
      </w:r>
      <w:bookmarkEnd w:id="13"/>
      <w:r w:rsidRPr="004A413C" w:rsidDel="00BE5194">
        <w:t xml:space="preserve"> </w:t>
      </w:r>
      <w:r w:rsidR="00DB1FFD">
        <w:tab/>
      </w:r>
      <w:r w:rsidRPr="004A413C" w:rsidDel="00BE5194">
        <w:t>Årskørsel for benzindrevne personbiler med synsdata</w:t>
      </w:r>
    </w:p>
    <w:p w14:paraId="5C129490" w14:textId="5B76E4C3" w:rsidR="003C742C" w:rsidRPr="004A413C" w:rsidDel="00BE5194" w:rsidRDefault="003C742C" w:rsidP="00FC5379">
      <w:pPr>
        <w:pStyle w:val="BodyText"/>
        <w:keepNext/>
        <w:keepLines/>
        <w:spacing w:after="0"/>
      </w:pPr>
      <w:r w:rsidRPr="004A413C" w:rsidDel="00BE5194">
        <w:rPr>
          <w:noProof/>
        </w:rPr>
        <w:drawing>
          <wp:inline distT="0" distB="0" distL="0" distR="0" wp14:anchorId="7D4AA842" wp14:editId="3425F3D3">
            <wp:extent cx="4559298" cy="259212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0907" cy="2621468"/>
                    </a:xfrm>
                    <a:prstGeom prst="rect">
                      <a:avLst/>
                    </a:prstGeom>
                    <a:noFill/>
                    <a:ln>
                      <a:noFill/>
                    </a:ln>
                  </pic:spPr>
                </pic:pic>
              </a:graphicData>
            </a:graphic>
          </wp:inline>
        </w:drawing>
      </w:r>
    </w:p>
    <w:p w14:paraId="4FDA384C" w14:textId="15136E47" w:rsidR="003C742C" w:rsidDel="00BE5194" w:rsidRDefault="003C742C" w:rsidP="00FC5379">
      <w:pPr>
        <w:pStyle w:val="Caption"/>
      </w:pPr>
      <w:r w:rsidRPr="004A413C" w:rsidDel="00BE5194">
        <w:t>Note: For årene 2012-2015 er årskørslen beregnet på baggrund af årskørslen forhøjet med faktorer som beregnet af Vejdirektoratet.</w:t>
      </w:r>
    </w:p>
    <w:p w14:paraId="254ECF33" w14:textId="257A5A75" w:rsidR="003C742C" w:rsidDel="00BE5194" w:rsidRDefault="003C742C" w:rsidP="00EC7899">
      <w:pPr>
        <w:pStyle w:val="BodyText"/>
      </w:pPr>
    </w:p>
    <w:p w14:paraId="3C0A30C6" w14:textId="3088296B" w:rsidR="00EC7899" w:rsidDel="00BE5194" w:rsidRDefault="00EC7899" w:rsidP="00EC7899">
      <w:pPr>
        <w:pStyle w:val="BodyText"/>
      </w:pPr>
      <w:r w:rsidDel="00BE5194">
        <w:t xml:space="preserve">På baggrund af aldersfordelingerne beregnet ud fra skrotningsmodellerne beskrevet i det foregående </w:t>
      </w:r>
      <w:r w:rsidR="00B905B8" w:rsidDel="00BE5194">
        <w:t xml:space="preserve">afsnit </w:t>
      </w:r>
      <w:r w:rsidDel="00BE5194">
        <w:t>og de viste årskørsler fordelt på aldersgrupper, kan man for en given størrelse bil med et givet brændstof beregne den gennemsnitlige levetidskørsel ved følgende formel.</w:t>
      </w:r>
    </w:p>
    <w:p w14:paraId="6DFDEA9A" w14:textId="7A8D4A26" w:rsidR="00EC7899" w:rsidDel="00BE5194" w:rsidRDefault="00EC7899" w:rsidP="00EC7899">
      <w:pPr>
        <w:pStyle w:val="BodyText"/>
      </w:pPr>
      <m:oMathPara>
        <m:oMath>
          <m:r>
            <w:rPr>
              <w:rFonts w:ascii="Cambria Math" w:hAnsi="Cambria Math"/>
              <w:sz w:val="24"/>
              <w:szCs w:val="24"/>
            </w:rPr>
            <m:t>Levetidskm=</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a</m:t>
                  </m:r>
                </m:sub>
                <m:sup/>
                <m: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a</m:t>
                      </m:r>
                    </m:sub>
                    <m:sup/>
                  </m:sSubSup>
                  <m:r>
                    <w:rPr>
                      <w:rFonts w:ascii="Cambria Math" w:hAnsi="Cambria Math"/>
                      <w:sz w:val="24"/>
                      <w:szCs w:val="24"/>
                    </w:rPr>
                    <m:t>*</m:t>
                  </m:r>
                </m:e>
              </m:nary>
              <m:sSubSup>
                <m:sSubSupPr>
                  <m:ctrlPr>
                    <w:rPr>
                      <w:rFonts w:ascii="Cambria Math" w:hAnsi="Cambria Math"/>
                      <w:i/>
                      <w:sz w:val="24"/>
                      <w:szCs w:val="24"/>
                    </w:rPr>
                  </m:ctrlPr>
                </m:sSubSupPr>
                <m:e>
                  <m:r>
                    <w:rPr>
                      <w:rFonts w:ascii="Cambria Math" w:hAnsi="Cambria Math"/>
                      <w:sz w:val="24"/>
                      <w:szCs w:val="24"/>
                    </w:rPr>
                    <m:t>Km</m:t>
                  </m:r>
                </m:e>
                <m:sub>
                  <m:r>
                    <w:rPr>
                      <w:rFonts w:ascii="Cambria Math" w:hAnsi="Cambria Math"/>
                      <w:sz w:val="24"/>
                      <w:szCs w:val="24"/>
                    </w:rPr>
                    <m:t>a</m:t>
                  </m:r>
                </m:sub>
                <m:sup/>
              </m:sSubSup>
              <m:r>
                <w:rPr>
                  <w:rFonts w:ascii="Cambria Math" w:hAnsi="Cambria Math"/>
                  <w:sz w:val="24"/>
                  <w:szCs w:val="24"/>
                </w:rPr>
                <m:t>)</m:t>
              </m:r>
            </m:num>
            <m:den>
              <m:nary>
                <m:naryPr>
                  <m:chr m:val="∑"/>
                  <m:limLoc m:val="undOvr"/>
                  <m:supHide m:val="1"/>
                  <m:ctrlPr>
                    <w:rPr>
                      <w:rFonts w:ascii="Cambria Math" w:hAnsi="Cambria Math"/>
                      <w:i/>
                      <w:sz w:val="24"/>
                      <w:szCs w:val="24"/>
                    </w:rPr>
                  </m:ctrlPr>
                </m:naryPr>
                <m:sub>
                  <m:r>
                    <w:rPr>
                      <w:rFonts w:ascii="Cambria Math" w:hAnsi="Cambria Math"/>
                      <w:sz w:val="24"/>
                      <w:szCs w:val="24"/>
                    </w:rPr>
                    <m:t>a</m:t>
                  </m:r>
                </m:sub>
                <m:sup/>
                <m:e>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a</m:t>
                      </m:r>
                    </m:sub>
                    <m:sup/>
                  </m:sSubSup>
                </m:e>
              </m:nary>
              <m:r>
                <w:rPr>
                  <w:rFonts w:ascii="Cambria Math" w:hAnsi="Cambria Math"/>
                  <w:sz w:val="24"/>
                  <w:szCs w:val="24"/>
                </w:rPr>
                <m:t>)</m:t>
              </m:r>
            </m:den>
          </m:f>
        </m:oMath>
      </m:oMathPara>
    </w:p>
    <w:p w14:paraId="411E0B82" w14:textId="14A0048F" w:rsidR="00EC7899" w:rsidDel="00BE5194" w:rsidRDefault="009A42BC" w:rsidP="00EC7899">
      <w:pPr>
        <w:pStyle w:val="BodyText"/>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a</m:t>
            </m:r>
          </m:sub>
          <m:sup/>
        </m:sSubSup>
      </m:oMath>
      <w:r w:rsidR="00EC7899" w:rsidDel="00BE5194">
        <w:rPr>
          <w:sz w:val="24"/>
          <w:szCs w:val="24"/>
        </w:rPr>
        <w:t xml:space="preserve"> </w:t>
      </w:r>
      <w:r w:rsidR="00EC7899" w:rsidDel="00BE5194">
        <w:t>angiver</w:t>
      </w:r>
      <w:r w:rsidR="00C85AE9">
        <w:t>,</w:t>
      </w:r>
      <w:r w:rsidR="00EC7899" w:rsidDel="00BE5194">
        <w:t xml:space="preserve"> hvor mange biler der er i aldersgruppe a og </w:t>
      </w:r>
      <m:oMath>
        <m:sSubSup>
          <m:sSubSupPr>
            <m:ctrlPr>
              <w:rPr>
                <w:rFonts w:ascii="Cambria Math" w:hAnsi="Cambria Math"/>
                <w:i/>
                <w:sz w:val="24"/>
                <w:szCs w:val="24"/>
              </w:rPr>
            </m:ctrlPr>
          </m:sSubSupPr>
          <m:e>
            <m:r>
              <w:rPr>
                <w:rFonts w:ascii="Cambria Math" w:hAnsi="Cambria Math"/>
                <w:sz w:val="24"/>
                <w:szCs w:val="24"/>
              </w:rPr>
              <m:t>Km</m:t>
            </m:r>
          </m:e>
          <m:sub>
            <m:r>
              <w:rPr>
                <w:rFonts w:ascii="Cambria Math" w:hAnsi="Cambria Math"/>
                <w:sz w:val="24"/>
                <w:szCs w:val="24"/>
              </w:rPr>
              <m:t>a</m:t>
            </m:r>
          </m:sub>
          <m:sup/>
        </m:sSubSup>
      </m:oMath>
      <w:r w:rsidR="00EC7899" w:rsidDel="00BE5194">
        <w:rPr>
          <w:i/>
        </w:rPr>
        <w:t xml:space="preserve"> </w:t>
      </w:r>
      <w:r w:rsidR="00EC7899" w:rsidRPr="00E15B8B" w:rsidDel="00BE5194">
        <w:t>angiver</w:t>
      </w:r>
      <w:r w:rsidR="001B08B7">
        <w:t>,</w:t>
      </w:r>
      <w:r w:rsidR="00EC7899" w:rsidRPr="00E15B8B" w:rsidDel="00BE5194">
        <w:t xml:space="preserve"> hvor mange kilometer disse biler i denne årgang kører årligt.</w:t>
      </w:r>
    </w:p>
    <w:p w14:paraId="38AC53EB" w14:textId="2C7E3372" w:rsidR="00EC7899" w:rsidRDefault="00EC7899" w:rsidP="00EC7899">
      <w:pPr>
        <w:pStyle w:val="BodyText"/>
      </w:pPr>
      <w:r w:rsidDel="00BE5194">
        <w:t>Der anvendes samme metode for personbiler, varebiler og lastbiler. De følgende tabeller viser de således beregnede levetider for køretøjerne i modellen.</w:t>
      </w:r>
    </w:p>
    <w:p w14:paraId="5423F2A4" w14:textId="467E7ECE" w:rsidR="00EC7899" w:rsidDel="00AA2848" w:rsidRDefault="00EC7899" w:rsidP="00EC7899">
      <w:pPr>
        <w:pStyle w:val="Caption"/>
      </w:pPr>
      <w:r w:rsidDel="00AA2848">
        <w:t xml:space="preserve">Tabel </w:t>
      </w:r>
      <w:r w:rsidR="009A42BC">
        <w:fldChar w:fldCharType="begin"/>
      </w:r>
      <w:r w:rsidR="009A42BC">
        <w:instrText xml:space="preserve"> STYLEREF 1 \s </w:instrText>
      </w:r>
      <w:r w:rsidR="009A42BC">
        <w:fldChar w:fldCharType="separate"/>
      </w:r>
      <w:r w:rsidR="00C7059A">
        <w:rPr>
          <w:noProof/>
        </w:rPr>
        <w:t>4</w:t>
      </w:r>
      <w:r w:rsidR="009A42BC">
        <w:rPr>
          <w:noProof/>
        </w:rPr>
        <w:fldChar w:fldCharType="end"/>
      </w:r>
      <w:r w:rsidR="00D14571" w:rsidDel="00AA2848">
        <w:noBreakHyphen/>
      </w:r>
      <w:r w:rsidR="009A42BC">
        <w:fldChar w:fldCharType="begin"/>
      </w:r>
      <w:r w:rsidR="009A42BC">
        <w:instrText xml:space="preserve"> SEQ Tabel \* ARABIC \s 1 </w:instrText>
      </w:r>
      <w:r w:rsidR="009A42BC">
        <w:fldChar w:fldCharType="separate"/>
      </w:r>
      <w:r w:rsidR="00C7059A">
        <w:rPr>
          <w:noProof/>
        </w:rPr>
        <w:t>4</w:t>
      </w:r>
      <w:r w:rsidR="009A42BC">
        <w:rPr>
          <w:noProof/>
        </w:rPr>
        <w:fldChar w:fldCharType="end"/>
      </w:r>
      <w:r w:rsidDel="00AA2848">
        <w:t xml:space="preserve"> </w:t>
      </w:r>
      <w:r w:rsidR="00DB1FFD">
        <w:tab/>
      </w:r>
      <w:r w:rsidDel="00AA2848">
        <w:t>Beregnede kilometer i hele levetiden for personbiler</w:t>
      </w:r>
    </w:p>
    <w:tbl>
      <w:tblPr>
        <w:tblStyle w:val="GridTable5Dark-Accent31"/>
        <w:tblW w:w="0" w:type="auto"/>
        <w:tblLayout w:type="fixed"/>
        <w:tblLook w:val="04A0" w:firstRow="1" w:lastRow="0" w:firstColumn="1" w:lastColumn="0" w:noHBand="0" w:noVBand="1"/>
      </w:tblPr>
      <w:tblGrid>
        <w:gridCol w:w="2446"/>
        <w:gridCol w:w="2446"/>
        <w:gridCol w:w="2446"/>
      </w:tblGrid>
      <w:tr w:rsidR="00EC7899" w:rsidRPr="004C109E" w:rsidDel="00AA2848" w14:paraId="5D13F18E" w14:textId="3A59797F" w:rsidTr="00F36A10">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vAlign w:val="center"/>
            <w:hideMark/>
          </w:tcPr>
          <w:p w14:paraId="022063EF" w14:textId="3178EFA4" w:rsidR="00EC7899" w:rsidRPr="004C109E" w:rsidDel="00AA2848" w:rsidRDefault="00EC7899" w:rsidP="00F36A10">
            <w:pPr>
              <w:pStyle w:val="BodyText"/>
            </w:pPr>
          </w:p>
        </w:tc>
        <w:tc>
          <w:tcPr>
            <w:tcW w:w="2446" w:type="dxa"/>
            <w:noWrap/>
            <w:vAlign w:val="center"/>
            <w:hideMark/>
          </w:tcPr>
          <w:p w14:paraId="2FA67FF2" w14:textId="1F836F64" w:rsidR="00EC7899" w:rsidRPr="004C109E" w:rsidDel="00AA2848" w:rsidRDefault="00EC7899" w:rsidP="00F36A10">
            <w:pPr>
              <w:pStyle w:val="BodyText"/>
              <w:jc w:val="center"/>
              <w:cnfStyle w:val="100000000000" w:firstRow="1" w:lastRow="0" w:firstColumn="0" w:lastColumn="0" w:oddVBand="0" w:evenVBand="0" w:oddHBand="0" w:evenHBand="0" w:firstRowFirstColumn="0" w:firstRowLastColumn="0" w:lastRowFirstColumn="0" w:lastRowLastColumn="0"/>
            </w:pPr>
            <w:r w:rsidRPr="004C109E" w:rsidDel="00AA2848">
              <w:t>Benzin</w:t>
            </w:r>
          </w:p>
        </w:tc>
        <w:tc>
          <w:tcPr>
            <w:tcW w:w="2446" w:type="dxa"/>
            <w:noWrap/>
            <w:vAlign w:val="center"/>
            <w:hideMark/>
          </w:tcPr>
          <w:p w14:paraId="218742A1" w14:textId="29B25AFE" w:rsidR="00EC7899" w:rsidRPr="004C109E" w:rsidDel="00AA2848" w:rsidRDefault="00EC7899" w:rsidP="00F36A10">
            <w:pPr>
              <w:pStyle w:val="BodyText"/>
              <w:jc w:val="center"/>
              <w:cnfStyle w:val="100000000000" w:firstRow="1" w:lastRow="0" w:firstColumn="0" w:lastColumn="0" w:oddVBand="0" w:evenVBand="0" w:oddHBand="0" w:evenHBand="0" w:firstRowFirstColumn="0" w:firstRowLastColumn="0" w:lastRowFirstColumn="0" w:lastRowLastColumn="0"/>
            </w:pPr>
            <w:r w:rsidRPr="004C109E" w:rsidDel="00AA2848">
              <w:t>Diesel</w:t>
            </w:r>
          </w:p>
        </w:tc>
      </w:tr>
      <w:tr w:rsidR="00EC7899" w:rsidRPr="004C109E" w:rsidDel="00AA2848" w14:paraId="442D72A0" w14:textId="07ACDC51" w:rsidTr="00F36A10">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vAlign w:val="center"/>
            <w:hideMark/>
          </w:tcPr>
          <w:p w14:paraId="6126B0F9" w14:textId="1012327E" w:rsidR="00EC7899" w:rsidRPr="004C109E" w:rsidDel="00AA2848" w:rsidRDefault="00EC7899" w:rsidP="00F36A10">
            <w:pPr>
              <w:pStyle w:val="BodyText"/>
            </w:pPr>
            <w:r w:rsidRPr="004C109E" w:rsidDel="00BE5194">
              <w:t xml:space="preserve">Lille </w:t>
            </w:r>
            <w:r w:rsidRPr="004A413C" w:rsidDel="00BE5194">
              <w:t>1</w:t>
            </w:r>
          </w:p>
        </w:tc>
        <w:tc>
          <w:tcPr>
            <w:tcW w:w="2446" w:type="dxa"/>
            <w:noWrap/>
            <w:vAlign w:val="bottom"/>
            <w:hideMark/>
          </w:tcPr>
          <w:p w14:paraId="246018E0" w14:textId="01200915" w:rsidR="00EC7899" w:rsidRPr="004A413C" w:rsidDel="00AA2848" w:rsidRDefault="00EC7899"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4A413C" w:rsidDel="00AA2848">
              <w:rPr>
                <w:rFonts w:ascii="Calibri" w:hAnsi="Calibri"/>
                <w:color w:val="000000"/>
                <w:sz w:val="22"/>
                <w:szCs w:val="22"/>
              </w:rPr>
              <w:t>202.238</w:t>
            </w:r>
          </w:p>
        </w:tc>
        <w:tc>
          <w:tcPr>
            <w:tcW w:w="2446" w:type="dxa"/>
            <w:noWrap/>
            <w:vAlign w:val="bottom"/>
            <w:hideMark/>
          </w:tcPr>
          <w:p w14:paraId="15A709BE" w14:textId="45090FB8" w:rsidR="00EC7899" w:rsidRPr="004A413C" w:rsidDel="00AA2848" w:rsidRDefault="00EC7899" w:rsidP="00F36A10">
            <w:pPr>
              <w:pStyle w:val="BodyText"/>
              <w:jc w:val="center"/>
              <w:cnfStyle w:val="000000100000" w:firstRow="0" w:lastRow="0" w:firstColumn="0" w:lastColumn="0" w:oddVBand="0" w:evenVBand="0" w:oddHBand="1" w:evenHBand="0" w:firstRowFirstColumn="0" w:firstRowLastColumn="0" w:lastRowFirstColumn="0" w:lastRowLastColumn="0"/>
            </w:pPr>
          </w:p>
        </w:tc>
      </w:tr>
      <w:tr w:rsidR="00EC7899" w:rsidRPr="004C109E" w:rsidDel="00AA2848" w14:paraId="658516BB" w14:textId="7E94439D" w:rsidTr="00F36A10">
        <w:trPr>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vAlign w:val="center"/>
            <w:hideMark/>
          </w:tcPr>
          <w:p w14:paraId="1E932B3C" w14:textId="6B9C8F68" w:rsidR="00EC7899" w:rsidRPr="004C109E" w:rsidDel="00AA2848" w:rsidRDefault="00EC7899" w:rsidP="00F36A10">
            <w:pPr>
              <w:pStyle w:val="BodyText"/>
            </w:pPr>
            <w:r w:rsidRPr="004A413C" w:rsidDel="00AA2848">
              <w:t>Lille 2</w:t>
            </w:r>
          </w:p>
        </w:tc>
        <w:tc>
          <w:tcPr>
            <w:tcW w:w="2446" w:type="dxa"/>
            <w:noWrap/>
            <w:vAlign w:val="bottom"/>
            <w:hideMark/>
          </w:tcPr>
          <w:p w14:paraId="0EEE5EBD" w14:textId="762C68FC" w:rsidR="00EC7899" w:rsidRPr="004A413C" w:rsidDel="00AA2848" w:rsidRDefault="00EC7899"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4A413C" w:rsidDel="00AA2848">
              <w:rPr>
                <w:rFonts w:ascii="Calibri" w:hAnsi="Calibri"/>
                <w:color w:val="000000"/>
                <w:sz w:val="22"/>
                <w:szCs w:val="22"/>
              </w:rPr>
              <w:t>211.058</w:t>
            </w:r>
          </w:p>
        </w:tc>
        <w:tc>
          <w:tcPr>
            <w:tcW w:w="2446" w:type="dxa"/>
            <w:noWrap/>
            <w:vAlign w:val="bottom"/>
          </w:tcPr>
          <w:p w14:paraId="69B52624" w14:textId="2DD92604" w:rsidR="00EC7899" w:rsidRPr="004A413C" w:rsidDel="00AA2848" w:rsidRDefault="00EC7899"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4A413C" w:rsidDel="00AA2848">
              <w:t>327.485</w:t>
            </w:r>
          </w:p>
        </w:tc>
      </w:tr>
      <w:tr w:rsidR="00EC7899" w:rsidRPr="004C109E" w:rsidDel="00AA2848" w14:paraId="09549CF8" w14:textId="040BE116" w:rsidTr="00F36A10">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vAlign w:val="center"/>
            <w:hideMark/>
          </w:tcPr>
          <w:p w14:paraId="3DC5F41A" w14:textId="34EC0272" w:rsidR="00EC7899" w:rsidRPr="004C109E" w:rsidDel="00AA2848" w:rsidRDefault="00EC7899" w:rsidP="00F36A10">
            <w:pPr>
              <w:pStyle w:val="BodyText"/>
            </w:pPr>
            <w:r w:rsidRPr="004C109E" w:rsidDel="00AA2848">
              <w:t>Mellem</w:t>
            </w:r>
          </w:p>
        </w:tc>
        <w:tc>
          <w:tcPr>
            <w:tcW w:w="2446" w:type="dxa"/>
            <w:noWrap/>
            <w:vAlign w:val="bottom"/>
            <w:hideMark/>
          </w:tcPr>
          <w:p w14:paraId="6E32600F" w14:textId="30434842" w:rsidR="00EC7899" w:rsidRPr="004A413C" w:rsidDel="00AA2848" w:rsidRDefault="00EC7899"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4A413C" w:rsidDel="00AA2848">
              <w:rPr>
                <w:rFonts w:ascii="Calibri" w:hAnsi="Calibri"/>
                <w:color w:val="000000"/>
                <w:sz w:val="22"/>
                <w:szCs w:val="22"/>
              </w:rPr>
              <w:t>256.879</w:t>
            </w:r>
          </w:p>
        </w:tc>
        <w:tc>
          <w:tcPr>
            <w:tcW w:w="2446" w:type="dxa"/>
            <w:noWrap/>
            <w:vAlign w:val="bottom"/>
            <w:hideMark/>
          </w:tcPr>
          <w:p w14:paraId="1D9C1EC1" w14:textId="1B7574BB" w:rsidR="00EC7899" w:rsidRPr="004A413C" w:rsidDel="00AA2848" w:rsidRDefault="00EC7899"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4A413C" w:rsidDel="00AA2848">
              <w:rPr>
                <w:rFonts w:ascii="Calibri" w:hAnsi="Calibri"/>
                <w:color w:val="000000"/>
                <w:sz w:val="22"/>
                <w:szCs w:val="22"/>
              </w:rPr>
              <w:t>394.470</w:t>
            </w:r>
          </w:p>
        </w:tc>
      </w:tr>
      <w:tr w:rsidR="00EC7899" w:rsidRPr="004C109E" w:rsidDel="00AA2848" w14:paraId="7A7B9B19" w14:textId="3BBCD740" w:rsidTr="00F36A10">
        <w:trPr>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vAlign w:val="center"/>
            <w:hideMark/>
          </w:tcPr>
          <w:p w14:paraId="0E169B2E" w14:textId="1F6D2DF6" w:rsidR="00EC7899" w:rsidRPr="004C109E" w:rsidDel="00AA2848" w:rsidRDefault="00EC7899" w:rsidP="00F36A10">
            <w:pPr>
              <w:pStyle w:val="BodyText"/>
            </w:pPr>
            <w:r w:rsidRPr="004C109E" w:rsidDel="00AA2848">
              <w:t>Stor</w:t>
            </w:r>
          </w:p>
        </w:tc>
        <w:tc>
          <w:tcPr>
            <w:tcW w:w="2446" w:type="dxa"/>
            <w:noWrap/>
            <w:vAlign w:val="bottom"/>
            <w:hideMark/>
          </w:tcPr>
          <w:p w14:paraId="144BF953" w14:textId="32828981" w:rsidR="00EC7899" w:rsidRPr="004A413C" w:rsidDel="00AA2848" w:rsidRDefault="00EC7899"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4A413C" w:rsidDel="00AA2848">
              <w:rPr>
                <w:rFonts w:ascii="Calibri" w:hAnsi="Calibri"/>
                <w:color w:val="000000"/>
                <w:sz w:val="22"/>
                <w:szCs w:val="22"/>
              </w:rPr>
              <w:t>264.473</w:t>
            </w:r>
          </w:p>
        </w:tc>
        <w:tc>
          <w:tcPr>
            <w:tcW w:w="2446" w:type="dxa"/>
            <w:noWrap/>
            <w:vAlign w:val="bottom"/>
            <w:hideMark/>
          </w:tcPr>
          <w:p w14:paraId="41A88ED0" w14:textId="7766BF11" w:rsidR="00EC7899" w:rsidRPr="004A413C" w:rsidDel="00AA2848" w:rsidRDefault="00EC7899"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4A413C" w:rsidDel="00AA2848">
              <w:rPr>
                <w:rFonts w:ascii="Calibri" w:hAnsi="Calibri"/>
                <w:color w:val="000000"/>
                <w:sz w:val="22"/>
                <w:szCs w:val="22"/>
              </w:rPr>
              <w:t>408.880</w:t>
            </w:r>
          </w:p>
        </w:tc>
      </w:tr>
    </w:tbl>
    <w:p w14:paraId="72FA109B" w14:textId="569A97A0" w:rsidR="00EC7899" w:rsidRPr="00270BF9" w:rsidDel="00AA2848" w:rsidRDefault="00EC7899" w:rsidP="00EC7899">
      <w:pPr>
        <w:pStyle w:val="BodyText"/>
        <w:rPr>
          <w:szCs w:val="18"/>
        </w:rPr>
      </w:pPr>
    </w:p>
    <w:p w14:paraId="7E5BF454" w14:textId="432E398B" w:rsidR="00EC7899" w:rsidDel="00AA2848" w:rsidRDefault="00EC7899" w:rsidP="00C7059A">
      <w:pPr>
        <w:pStyle w:val="Caption"/>
        <w:keepNext/>
        <w:keepLines/>
      </w:pPr>
      <w:r w:rsidDel="00AA2848">
        <w:t xml:space="preserve">Tabel </w:t>
      </w:r>
      <w:r w:rsidR="009A42BC">
        <w:fldChar w:fldCharType="begin"/>
      </w:r>
      <w:r w:rsidR="009A42BC">
        <w:instrText xml:space="preserve"> STYLEREF 1 \s </w:instrText>
      </w:r>
      <w:r w:rsidR="009A42BC">
        <w:fldChar w:fldCharType="separate"/>
      </w:r>
      <w:r w:rsidR="00C7059A">
        <w:rPr>
          <w:noProof/>
        </w:rPr>
        <w:t>4</w:t>
      </w:r>
      <w:r w:rsidR="009A42BC">
        <w:rPr>
          <w:noProof/>
        </w:rPr>
        <w:fldChar w:fldCharType="end"/>
      </w:r>
      <w:r w:rsidR="00D14571" w:rsidDel="00AA2848">
        <w:noBreakHyphen/>
      </w:r>
      <w:r w:rsidR="009A42BC">
        <w:fldChar w:fldCharType="begin"/>
      </w:r>
      <w:r w:rsidR="009A42BC">
        <w:instrText xml:space="preserve"> SEQ Tabel \* ARABIC \s 1 </w:instrText>
      </w:r>
      <w:r w:rsidR="009A42BC">
        <w:fldChar w:fldCharType="separate"/>
      </w:r>
      <w:r w:rsidR="00C7059A">
        <w:rPr>
          <w:noProof/>
        </w:rPr>
        <w:t>5</w:t>
      </w:r>
      <w:r w:rsidR="009A42BC">
        <w:rPr>
          <w:noProof/>
        </w:rPr>
        <w:fldChar w:fldCharType="end"/>
      </w:r>
      <w:r w:rsidDel="00AA2848">
        <w:t xml:space="preserve"> </w:t>
      </w:r>
      <w:r w:rsidR="00DB1FFD">
        <w:tab/>
      </w:r>
      <w:r w:rsidDel="00AA2848">
        <w:t>Beregnede kilometer i hele levetiden for varebiler</w:t>
      </w:r>
    </w:p>
    <w:tbl>
      <w:tblPr>
        <w:tblStyle w:val="GridTable5Dark-Accent31"/>
        <w:tblW w:w="0" w:type="auto"/>
        <w:tblLayout w:type="fixed"/>
        <w:tblLook w:val="04A0" w:firstRow="1" w:lastRow="0" w:firstColumn="1" w:lastColumn="0" w:noHBand="0" w:noVBand="1"/>
      </w:tblPr>
      <w:tblGrid>
        <w:gridCol w:w="2446"/>
        <w:gridCol w:w="2446"/>
        <w:gridCol w:w="2446"/>
      </w:tblGrid>
      <w:tr w:rsidR="00EC7899" w:rsidRPr="004C109E" w:rsidDel="00AA2848" w14:paraId="732D4D84" w14:textId="3DAD6263" w:rsidTr="00F36A10">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vAlign w:val="center"/>
            <w:hideMark/>
          </w:tcPr>
          <w:p w14:paraId="28B93B9E" w14:textId="26EA17F2" w:rsidR="00EC7899" w:rsidRPr="004C109E" w:rsidDel="00AA2848" w:rsidRDefault="00EC7899" w:rsidP="00C7059A">
            <w:pPr>
              <w:pStyle w:val="BodyText"/>
              <w:keepNext/>
              <w:keepLines/>
            </w:pPr>
          </w:p>
        </w:tc>
        <w:tc>
          <w:tcPr>
            <w:tcW w:w="2446" w:type="dxa"/>
            <w:noWrap/>
            <w:vAlign w:val="center"/>
            <w:hideMark/>
          </w:tcPr>
          <w:p w14:paraId="6530F509" w14:textId="4F641DCD" w:rsidR="00EC7899" w:rsidRPr="004C109E" w:rsidDel="00AA2848" w:rsidRDefault="00EC7899" w:rsidP="00C7059A">
            <w:pPr>
              <w:pStyle w:val="BodyText"/>
              <w:keepNext/>
              <w:keepLines/>
              <w:jc w:val="center"/>
              <w:cnfStyle w:val="100000000000" w:firstRow="1" w:lastRow="0" w:firstColumn="0" w:lastColumn="0" w:oddVBand="0" w:evenVBand="0" w:oddHBand="0" w:evenHBand="0" w:firstRowFirstColumn="0" w:firstRowLastColumn="0" w:lastRowFirstColumn="0" w:lastRowLastColumn="0"/>
            </w:pPr>
            <w:r w:rsidRPr="004C109E" w:rsidDel="00AA2848">
              <w:t>Benzin</w:t>
            </w:r>
          </w:p>
        </w:tc>
        <w:tc>
          <w:tcPr>
            <w:tcW w:w="2446" w:type="dxa"/>
            <w:noWrap/>
            <w:vAlign w:val="center"/>
            <w:hideMark/>
          </w:tcPr>
          <w:p w14:paraId="223555E7" w14:textId="5756F2CC" w:rsidR="00EC7899" w:rsidRPr="004C109E" w:rsidDel="00AA2848" w:rsidRDefault="00EC7899" w:rsidP="00C7059A">
            <w:pPr>
              <w:pStyle w:val="BodyText"/>
              <w:keepNext/>
              <w:keepLines/>
              <w:jc w:val="center"/>
              <w:cnfStyle w:val="100000000000" w:firstRow="1" w:lastRow="0" w:firstColumn="0" w:lastColumn="0" w:oddVBand="0" w:evenVBand="0" w:oddHBand="0" w:evenHBand="0" w:firstRowFirstColumn="0" w:firstRowLastColumn="0" w:lastRowFirstColumn="0" w:lastRowLastColumn="0"/>
            </w:pPr>
            <w:r w:rsidRPr="004C109E" w:rsidDel="00AA2848">
              <w:t>Diesel</w:t>
            </w:r>
          </w:p>
        </w:tc>
      </w:tr>
      <w:tr w:rsidR="00EC7899" w:rsidRPr="004C109E" w:rsidDel="00AA2848" w14:paraId="2E11A1BC" w14:textId="77585892" w:rsidTr="00F36A10">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hideMark/>
          </w:tcPr>
          <w:p w14:paraId="2C03AF8C" w14:textId="1C571985" w:rsidR="00EC7899" w:rsidRPr="004A413C" w:rsidDel="00AA2848" w:rsidRDefault="00EC7899" w:rsidP="00C7059A">
            <w:pPr>
              <w:pStyle w:val="BodyText"/>
              <w:keepNext/>
              <w:keepLines/>
            </w:pPr>
            <w:r w:rsidRPr="004A413C" w:rsidDel="00AA2848">
              <w:t>&lt;= 2000 kg</w:t>
            </w:r>
          </w:p>
        </w:tc>
        <w:tc>
          <w:tcPr>
            <w:tcW w:w="2446" w:type="dxa"/>
            <w:noWrap/>
            <w:vAlign w:val="bottom"/>
            <w:hideMark/>
          </w:tcPr>
          <w:p w14:paraId="24726B99" w14:textId="0497E657" w:rsidR="00EC7899" w:rsidRPr="004A413C" w:rsidDel="00AA2848" w:rsidRDefault="00EC7899" w:rsidP="00C7059A">
            <w:pPr>
              <w:pStyle w:val="BodyText"/>
              <w:keepNext/>
              <w:keepLines/>
              <w:jc w:val="center"/>
              <w:cnfStyle w:val="000000100000" w:firstRow="0" w:lastRow="0" w:firstColumn="0" w:lastColumn="0" w:oddVBand="0" w:evenVBand="0" w:oddHBand="1" w:evenHBand="0" w:firstRowFirstColumn="0" w:firstRowLastColumn="0" w:lastRowFirstColumn="0" w:lastRowLastColumn="0"/>
            </w:pPr>
            <w:r w:rsidRPr="004A413C" w:rsidDel="00AA2848">
              <w:rPr>
                <w:rFonts w:ascii="Calibri" w:hAnsi="Calibri"/>
                <w:color w:val="000000"/>
                <w:sz w:val="22"/>
                <w:szCs w:val="22"/>
              </w:rPr>
              <w:t>215.467</w:t>
            </w:r>
          </w:p>
        </w:tc>
        <w:tc>
          <w:tcPr>
            <w:tcW w:w="2446" w:type="dxa"/>
            <w:noWrap/>
            <w:vAlign w:val="bottom"/>
            <w:hideMark/>
          </w:tcPr>
          <w:p w14:paraId="549688F9" w14:textId="2249769E" w:rsidR="00EC7899" w:rsidRPr="004A413C" w:rsidDel="00AA2848" w:rsidRDefault="00EC7899" w:rsidP="00C7059A">
            <w:pPr>
              <w:pStyle w:val="BodyText"/>
              <w:keepNext/>
              <w:keepLines/>
              <w:jc w:val="center"/>
              <w:cnfStyle w:val="000000100000" w:firstRow="0" w:lastRow="0" w:firstColumn="0" w:lastColumn="0" w:oddVBand="0" w:evenVBand="0" w:oddHBand="1" w:evenHBand="0" w:firstRowFirstColumn="0" w:firstRowLastColumn="0" w:lastRowFirstColumn="0" w:lastRowLastColumn="0"/>
            </w:pPr>
            <w:r w:rsidRPr="004A413C" w:rsidDel="00AA2848">
              <w:rPr>
                <w:rFonts w:ascii="Calibri" w:hAnsi="Calibri"/>
                <w:color w:val="000000"/>
                <w:sz w:val="22"/>
                <w:szCs w:val="22"/>
              </w:rPr>
              <w:t>282.524</w:t>
            </w:r>
          </w:p>
        </w:tc>
      </w:tr>
      <w:tr w:rsidR="00EC7899" w:rsidRPr="004C109E" w:rsidDel="00AA2848" w14:paraId="337980A1" w14:textId="09FB6951" w:rsidTr="00F36A10">
        <w:trPr>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hideMark/>
          </w:tcPr>
          <w:p w14:paraId="757664A3" w14:textId="3A012B52" w:rsidR="00EC7899" w:rsidRPr="004A413C" w:rsidDel="00AA2848" w:rsidRDefault="00EC7899" w:rsidP="00C7059A">
            <w:pPr>
              <w:pStyle w:val="BodyText"/>
              <w:keepNext/>
              <w:keepLines/>
            </w:pPr>
            <w:r w:rsidRPr="004A413C" w:rsidDel="00AA2848">
              <w:t>2000 – 3000 kg</w:t>
            </w:r>
          </w:p>
        </w:tc>
        <w:tc>
          <w:tcPr>
            <w:tcW w:w="2446" w:type="dxa"/>
            <w:noWrap/>
            <w:vAlign w:val="bottom"/>
            <w:hideMark/>
          </w:tcPr>
          <w:p w14:paraId="59FFBC05" w14:textId="2C72BD08" w:rsidR="00EC7899" w:rsidRPr="004A413C" w:rsidDel="00AA2848" w:rsidRDefault="00EC7899" w:rsidP="00C7059A">
            <w:pPr>
              <w:pStyle w:val="BodyText"/>
              <w:keepNext/>
              <w:keepLines/>
              <w:jc w:val="center"/>
              <w:cnfStyle w:val="000000000000" w:firstRow="0" w:lastRow="0" w:firstColumn="0" w:lastColumn="0" w:oddVBand="0" w:evenVBand="0" w:oddHBand="0" w:evenHBand="0" w:firstRowFirstColumn="0" w:firstRowLastColumn="0" w:lastRowFirstColumn="0" w:lastRowLastColumn="0"/>
            </w:pPr>
            <w:r w:rsidRPr="004A413C" w:rsidDel="00AA2848">
              <w:rPr>
                <w:rFonts w:ascii="Calibri" w:hAnsi="Calibri"/>
                <w:color w:val="000000"/>
                <w:sz w:val="22"/>
                <w:szCs w:val="22"/>
              </w:rPr>
              <w:t>215.467</w:t>
            </w:r>
          </w:p>
        </w:tc>
        <w:tc>
          <w:tcPr>
            <w:tcW w:w="2446" w:type="dxa"/>
            <w:noWrap/>
            <w:vAlign w:val="bottom"/>
            <w:hideMark/>
          </w:tcPr>
          <w:p w14:paraId="42DD00EE" w14:textId="20557878" w:rsidR="00EC7899" w:rsidRPr="004A413C" w:rsidDel="00AA2848" w:rsidRDefault="00EC7899" w:rsidP="00C7059A">
            <w:pPr>
              <w:pStyle w:val="BodyText"/>
              <w:keepNext/>
              <w:keepLines/>
              <w:jc w:val="center"/>
              <w:cnfStyle w:val="000000000000" w:firstRow="0" w:lastRow="0" w:firstColumn="0" w:lastColumn="0" w:oddVBand="0" w:evenVBand="0" w:oddHBand="0" w:evenHBand="0" w:firstRowFirstColumn="0" w:firstRowLastColumn="0" w:lastRowFirstColumn="0" w:lastRowLastColumn="0"/>
            </w:pPr>
            <w:r w:rsidRPr="004A413C" w:rsidDel="00AA2848">
              <w:rPr>
                <w:rFonts w:ascii="Calibri" w:hAnsi="Calibri"/>
                <w:color w:val="000000"/>
                <w:sz w:val="22"/>
                <w:szCs w:val="22"/>
              </w:rPr>
              <w:t>282.524</w:t>
            </w:r>
          </w:p>
        </w:tc>
      </w:tr>
      <w:tr w:rsidR="00EC7899" w:rsidRPr="004C109E" w:rsidDel="00AA2848" w14:paraId="2E1B137B" w14:textId="23C391F2" w:rsidTr="00F36A10">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446" w:type="dxa"/>
            <w:noWrap/>
            <w:hideMark/>
          </w:tcPr>
          <w:p w14:paraId="574875FB" w14:textId="6BB8AC0A" w:rsidR="00EC7899" w:rsidRPr="004A413C" w:rsidDel="00AA2848" w:rsidRDefault="00EC7899" w:rsidP="00C7059A">
            <w:pPr>
              <w:pStyle w:val="BodyText"/>
              <w:keepNext/>
              <w:keepLines/>
            </w:pPr>
            <w:r w:rsidRPr="004A413C" w:rsidDel="00AA2848">
              <w:t>&gt; 3000 kg</w:t>
            </w:r>
          </w:p>
        </w:tc>
        <w:tc>
          <w:tcPr>
            <w:tcW w:w="2446" w:type="dxa"/>
            <w:noWrap/>
            <w:vAlign w:val="bottom"/>
            <w:hideMark/>
          </w:tcPr>
          <w:p w14:paraId="11E301B1" w14:textId="50720A19" w:rsidR="00EC7899" w:rsidRPr="004A413C" w:rsidDel="00AA2848" w:rsidRDefault="00EC7899" w:rsidP="00C7059A">
            <w:pPr>
              <w:pStyle w:val="BodyText"/>
              <w:keepNext/>
              <w:keepLines/>
              <w:jc w:val="center"/>
              <w:cnfStyle w:val="000000100000" w:firstRow="0" w:lastRow="0" w:firstColumn="0" w:lastColumn="0" w:oddVBand="0" w:evenVBand="0" w:oddHBand="1" w:evenHBand="0" w:firstRowFirstColumn="0" w:firstRowLastColumn="0" w:lastRowFirstColumn="0" w:lastRowLastColumn="0"/>
            </w:pPr>
            <w:r w:rsidRPr="004A413C" w:rsidDel="00AA2848">
              <w:rPr>
                <w:rFonts w:ascii="Calibri" w:hAnsi="Calibri"/>
                <w:color w:val="000000"/>
                <w:sz w:val="22"/>
                <w:szCs w:val="22"/>
              </w:rPr>
              <w:t>201.233</w:t>
            </w:r>
          </w:p>
        </w:tc>
        <w:tc>
          <w:tcPr>
            <w:tcW w:w="2446" w:type="dxa"/>
            <w:noWrap/>
            <w:vAlign w:val="bottom"/>
            <w:hideMark/>
          </w:tcPr>
          <w:p w14:paraId="4CC49F2B" w14:textId="39C7097B" w:rsidR="00EC7899" w:rsidRPr="004A413C" w:rsidDel="00AA2848" w:rsidRDefault="00EC7899" w:rsidP="00C7059A">
            <w:pPr>
              <w:pStyle w:val="BodyText"/>
              <w:keepNext/>
              <w:keepLines/>
              <w:jc w:val="center"/>
              <w:cnfStyle w:val="000000100000" w:firstRow="0" w:lastRow="0" w:firstColumn="0" w:lastColumn="0" w:oddVBand="0" w:evenVBand="0" w:oddHBand="1" w:evenHBand="0" w:firstRowFirstColumn="0" w:firstRowLastColumn="0" w:lastRowFirstColumn="0" w:lastRowLastColumn="0"/>
            </w:pPr>
            <w:r w:rsidRPr="004A413C" w:rsidDel="00AA2848">
              <w:rPr>
                <w:rFonts w:ascii="Calibri" w:hAnsi="Calibri"/>
                <w:color w:val="000000"/>
                <w:sz w:val="22"/>
                <w:szCs w:val="22"/>
              </w:rPr>
              <w:t>274.888</w:t>
            </w:r>
          </w:p>
        </w:tc>
      </w:tr>
    </w:tbl>
    <w:p w14:paraId="5FC72DDF" w14:textId="20C2B7B9" w:rsidR="00EC7899" w:rsidDel="00AA2848" w:rsidRDefault="00EC7899" w:rsidP="00EC7899">
      <w:pPr>
        <w:pStyle w:val="BodyText"/>
      </w:pPr>
    </w:p>
    <w:p w14:paraId="7737BC32" w14:textId="03985070" w:rsidR="00EC7899" w:rsidDel="00AA2848" w:rsidRDefault="00EC7899" w:rsidP="00EC7899">
      <w:pPr>
        <w:pStyle w:val="Caption"/>
      </w:pPr>
      <w:r w:rsidDel="00AA2848">
        <w:t xml:space="preserve">Tabel </w:t>
      </w:r>
      <w:r w:rsidR="009A42BC">
        <w:fldChar w:fldCharType="begin"/>
      </w:r>
      <w:r w:rsidR="009A42BC">
        <w:instrText xml:space="preserve"> STYLEREF 1 \s </w:instrText>
      </w:r>
      <w:r w:rsidR="009A42BC">
        <w:fldChar w:fldCharType="separate"/>
      </w:r>
      <w:r w:rsidR="00C7059A">
        <w:rPr>
          <w:noProof/>
        </w:rPr>
        <w:t>4</w:t>
      </w:r>
      <w:r w:rsidR="009A42BC">
        <w:rPr>
          <w:noProof/>
        </w:rPr>
        <w:fldChar w:fldCharType="end"/>
      </w:r>
      <w:r w:rsidR="00D14571" w:rsidDel="00AA2848">
        <w:noBreakHyphen/>
      </w:r>
      <w:r w:rsidR="009A42BC">
        <w:fldChar w:fldCharType="begin"/>
      </w:r>
      <w:r w:rsidR="009A42BC">
        <w:instrText xml:space="preserve"> SEQ Tabel \* ARABIC \s 1 </w:instrText>
      </w:r>
      <w:r w:rsidR="009A42BC">
        <w:fldChar w:fldCharType="separate"/>
      </w:r>
      <w:r w:rsidR="00C7059A">
        <w:rPr>
          <w:noProof/>
        </w:rPr>
        <w:t>6</w:t>
      </w:r>
      <w:r w:rsidR="009A42BC">
        <w:rPr>
          <w:noProof/>
        </w:rPr>
        <w:fldChar w:fldCharType="end"/>
      </w:r>
      <w:r w:rsidDel="00AA2848">
        <w:t xml:space="preserve"> </w:t>
      </w:r>
      <w:r w:rsidR="00DB1FFD">
        <w:tab/>
      </w:r>
      <w:r w:rsidDel="00AA2848">
        <w:t>Beregnede kilometer i hele levetiden for lastbiler</w:t>
      </w:r>
    </w:p>
    <w:tbl>
      <w:tblPr>
        <w:tblStyle w:val="GridTable5Dark-Accent31"/>
        <w:tblW w:w="0" w:type="auto"/>
        <w:tblLayout w:type="fixed"/>
        <w:tblLook w:val="04A0" w:firstRow="1" w:lastRow="0" w:firstColumn="1" w:lastColumn="0" w:noHBand="0" w:noVBand="1"/>
      </w:tblPr>
      <w:tblGrid>
        <w:gridCol w:w="4219"/>
        <w:gridCol w:w="2552"/>
      </w:tblGrid>
      <w:tr w:rsidR="00EC7899" w:rsidRPr="004C109E" w:rsidDel="00AA2848" w14:paraId="280162DA" w14:textId="1D781212" w:rsidTr="00F36A10">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219" w:type="dxa"/>
            <w:noWrap/>
            <w:vAlign w:val="center"/>
            <w:hideMark/>
          </w:tcPr>
          <w:p w14:paraId="303BB17E" w14:textId="415B43D1" w:rsidR="00EC7899" w:rsidRPr="004C109E" w:rsidDel="00AA2848" w:rsidRDefault="00EC7899" w:rsidP="00F36A10">
            <w:pPr>
              <w:pStyle w:val="BodyText"/>
            </w:pPr>
          </w:p>
        </w:tc>
        <w:tc>
          <w:tcPr>
            <w:tcW w:w="2552" w:type="dxa"/>
            <w:noWrap/>
            <w:vAlign w:val="center"/>
            <w:hideMark/>
          </w:tcPr>
          <w:p w14:paraId="7D14F4D4" w14:textId="33B40D89" w:rsidR="00EC7899" w:rsidRPr="004C109E" w:rsidDel="00AA2848" w:rsidRDefault="00EC7899" w:rsidP="00F36A10">
            <w:pPr>
              <w:pStyle w:val="BodyText"/>
              <w:jc w:val="center"/>
              <w:cnfStyle w:val="100000000000" w:firstRow="1" w:lastRow="0" w:firstColumn="0" w:lastColumn="0" w:oddVBand="0" w:evenVBand="0" w:oddHBand="0" w:evenHBand="0" w:firstRowFirstColumn="0" w:firstRowLastColumn="0" w:lastRowFirstColumn="0" w:lastRowLastColumn="0"/>
            </w:pPr>
            <w:r w:rsidRPr="004C109E" w:rsidDel="00AA2848">
              <w:t>Diesel</w:t>
            </w:r>
          </w:p>
        </w:tc>
      </w:tr>
      <w:tr w:rsidR="00EC7899" w:rsidRPr="004C109E" w:rsidDel="00AA2848" w14:paraId="55C63C3D" w14:textId="4D9B1BD5" w:rsidTr="00F36A10">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219" w:type="dxa"/>
            <w:noWrap/>
            <w:vAlign w:val="bottom"/>
            <w:hideMark/>
          </w:tcPr>
          <w:p w14:paraId="583A0628" w14:textId="6FCF75D2" w:rsidR="00EC7899" w:rsidRPr="004A413C" w:rsidDel="00AA2848" w:rsidRDefault="00EC7899" w:rsidP="00F36A10">
            <w:pPr>
              <w:pStyle w:val="BodyText"/>
            </w:pPr>
            <w:r w:rsidRPr="004A413C" w:rsidDel="00AA2848">
              <w:t>Lastbil, uden anhænger, &lt; 12 t</w:t>
            </w:r>
          </w:p>
        </w:tc>
        <w:tc>
          <w:tcPr>
            <w:tcW w:w="2552" w:type="dxa"/>
            <w:noWrap/>
            <w:vAlign w:val="bottom"/>
            <w:hideMark/>
          </w:tcPr>
          <w:p w14:paraId="450B18E1" w14:textId="4FF6E424" w:rsidR="00EC7899" w:rsidRPr="004A413C" w:rsidDel="00AA2848" w:rsidRDefault="00EC7899"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4A413C" w:rsidDel="00AA2848">
              <w:rPr>
                <w:rFonts w:ascii="Calibri" w:hAnsi="Calibri"/>
                <w:color w:val="000000"/>
                <w:sz w:val="22"/>
                <w:szCs w:val="22"/>
              </w:rPr>
              <w:t>365.426</w:t>
            </w:r>
          </w:p>
        </w:tc>
      </w:tr>
      <w:tr w:rsidR="00EC7899" w:rsidRPr="004C109E" w:rsidDel="00AA2848" w14:paraId="36748766" w14:textId="4614266E" w:rsidTr="00F36A10">
        <w:trPr>
          <w:trHeight w:hRule="exact" w:val="397"/>
        </w:trPr>
        <w:tc>
          <w:tcPr>
            <w:cnfStyle w:val="001000000000" w:firstRow="0" w:lastRow="0" w:firstColumn="1" w:lastColumn="0" w:oddVBand="0" w:evenVBand="0" w:oddHBand="0" w:evenHBand="0" w:firstRowFirstColumn="0" w:firstRowLastColumn="0" w:lastRowFirstColumn="0" w:lastRowLastColumn="0"/>
            <w:tcW w:w="4219" w:type="dxa"/>
            <w:noWrap/>
            <w:vAlign w:val="bottom"/>
            <w:hideMark/>
          </w:tcPr>
          <w:p w14:paraId="3101DB75" w14:textId="389E1F60" w:rsidR="00EC7899" w:rsidRPr="004A413C" w:rsidDel="00AA2848" w:rsidRDefault="00EC7899" w:rsidP="00F36A10">
            <w:pPr>
              <w:pStyle w:val="BodyText"/>
            </w:pPr>
            <w:r w:rsidRPr="004A413C" w:rsidDel="00AA2848">
              <w:t>Lastbil, uden anhænger, &gt; 12 t</w:t>
            </w:r>
          </w:p>
        </w:tc>
        <w:tc>
          <w:tcPr>
            <w:tcW w:w="2552" w:type="dxa"/>
            <w:noWrap/>
            <w:vAlign w:val="bottom"/>
            <w:hideMark/>
          </w:tcPr>
          <w:p w14:paraId="2F4CF58A" w14:textId="502F6A77" w:rsidR="00EC7899" w:rsidRPr="004A413C" w:rsidDel="00AA2848" w:rsidRDefault="00EC7899"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4A413C" w:rsidDel="00AA2848">
              <w:rPr>
                <w:rFonts w:ascii="Calibri" w:hAnsi="Calibri"/>
                <w:color w:val="000000"/>
                <w:sz w:val="22"/>
                <w:szCs w:val="22"/>
              </w:rPr>
              <w:t>469.562</w:t>
            </w:r>
          </w:p>
        </w:tc>
      </w:tr>
      <w:tr w:rsidR="00EC7899" w:rsidRPr="004C109E" w:rsidDel="00AA2848" w14:paraId="3D6EDC35" w14:textId="55997E07" w:rsidTr="00F36A10">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219" w:type="dxa"/>
            <w:noWrap/>
            <w:vAlign w:val="bottom"/>
            <w:hideMark/>
          </w:tcPr>
          <w:p w14:paraId="2F7B2CD9" w14:textId="0F48A189" w:rsidR="00EC7899" w:rsidRPr="004A413C" w:rsidDel="00AA2848" w:rsidRDefault="00EC7899" w:rsidP="00F36A10">
            <w:pPr>
              <w:pStyle w:val="BodyText"/>
            </w:pPr>
            <w:r w:rsidRPr="004A413C" w:rsidDel="00AA2848">
              <w:t>Lastbil, med anhænger</w:t>
            </w:r>
          </w:p>
        </w:tc>
        <w:tc>
          <w:tcPr>
            <w:tcW w:w="2552" w:type="dxa"/>
            <w:noWrap/>
            <w:vAlign w:val="bottom"/>
            <w:hideMark/>
          </w:tcPr>
          <w:p w14:paraId="23743DAD" w14:textId="249725FF" w:rsidR="00EC7899" w:rsidRPr="004A413C" w:rsidDel="00AA2848" w:rsidRDefault="00EC7899" w:rsidP="00F36A10">
            <w:pPr>
              <w:pStyle w:val="BodyText"/>
              <w:jc w:val="center"/>
              <w:cnfStyle w:val="000000100000" w:firstRow="0" w:lastRow="0" w:firstColumn="0" w:lastColumn="0" w:oddVBand="0" w:evenVBand="0" w:oddHBand="1" w:evenHBand="0" w:firstRowFirstColumn="0" w:firstRowLastColumn="0" w:lastRowFirstColumn="0" w:lastRowLastColumn="0"/>
            </w:pPr>
            <w:r w:rsidRPr="004A413C" w:rsidDel="00AA2848">
              <w:rPr>
                <w:rFonts w:ascii="Calibri" w:hAnsi="Calibri"/>
                <w:color w:val="000000"/>
                <w:sz w:val="22"/>
                <w:szCs w:val="22"/>
              </w:rPr>
              <w:t>656.856</w:t>
            </w:r>
          </w:p>
        </w:tc>
      </w:tr>
      <w:tr w:rsidR="00EC7899" w:rsidRPr="004C109E" w:rsidDel="00AA2848" w14:paraId="2927F552" w14:textId="3E60CF25" w:rsidTr="00F36A10">
        <w:trPr>
          <w:trHeight w:hRule="exact" w:val="397"/>
        </w:trPr>
        <w:tc>
          <w:tcPr>
            <w:cnfStyle w:val="001000000000" w:firstRow="0" w:lastRow="0" w:firstColumn="1" w:lastColumn="0" w:oddVBand="0" w:evenVBand="0" w:oddHBand="0" w:evenHBand="0" w:firstRowFirstColumn="0" w:firstRowLastColumn="0" w:lastRowFirstColumn="0" w:lastRowLastColumn="0"/>
            <w:tcW w:w="4219" w:type="dxa"/>
            <w:noWrap/>
            <w:vAlign w:val="bottom"/>
            <w:hideMark/>
          </w:tcPr>
          <w:p w14:paraId="6102A63B" w14:textId="0B5140B2" w:rsidR="00EC7899" w:rsidRPr="004A413C" w:rsidDel="00AA2848" w:rsidRDefault="00EC7899" w:rsidP="00F36A10">
            <w:pPr>
              <w:pStyle w:val="BodyText"/>
            </w:pPr>
            <w:r w:rsidRPr="004A413C" w:rsidDel="00AA2848">
              <w:t>Trækker</w:t>
            </w:r>
          </w:p>
        </w:tc>
        <w:tc>
          <w:tcPr>
            <w:tcW w:w="2552" w:type="dxa"/>
            <w:noWrap/>
            <w:vAlign w:val="bottom"/>
            <w:hideMark/>
          </w:tcPr>
          <w:p w14:paraId="3DB0227D" w14:textId="711B4632" w:rsidR="00EC7899" w:rsidRPr="004A413C" w:rsidDel="00AA2848" w:rsidRDefault="00EC7899" w:rsidP="00F36A10">
            <w:pPr>
              <w:pStyle w:val="BodyText"/>
              <w:jc w:val="center"/>
              <w:cnfStyle w:val="000000000000" w:firstRow="0" w:lastRow="0" w:firstColumn="0" w:lastColumn="0" w:oddVBand="0" w:evenVBand="0" w:oddHBand="0" w:evenHBand="0" w:firstRowFirstColumn="0" w:firstRowLastColumn="0" w:lastRowFirstColumn="0" w:lastRowLastColumn="0"/>
            </w:pPr>
            <w:r w:rsidRPr="004A413C" w:rsidDel="00AA2848">
              <w:rPr>
                <w:rFonts w:ascii="Calibri" w:hAnsi="Calibri"/>
                <w:color w:val="000000"/>
                <w:sz w:val="22"/>
                <w:szCs w:val="22"/>
              </w:rPr>
              <w:t>931.962</w:t>
            </w:r>
          </w:p>
        </w:tc>
      </w:tr>
    </w:tbl>
    <w:p w14:paraId="7CFB1171" w14:textId="22F79656" w:rsidR="00EC7899" w:rsidRPr="00542962" w:rsidDel="00AA2848" w:rsidRDefault="00EC7899" w:rsidP="00EC7899">
      <w:pPr>
        <w:pStyle w:val="BodyText"/>
        <w:rPr>
          <w:szCs w:val="18"/>
        </w:rPr>
      </w:pPr>
    </w:p>
    <w:p w14:paraId="2D01E064" w14:textId="76AFD6E4" w:rsidR="00EC7899" w:rsidRDefault="00EC7899" w:rsidP="00EC7899">
      <w:pPr>
        <w:pStyle w:val="Heading1"/>
      </w:pPr>
      <w:bookmarkStart w:id="14" w:name="_Toc88834870"/>
      <w:r>
        <w:lastRenderedPageBreak/>
        <w:t>Omkostningskategorier og beregninger</w:t>
      </w:r>
      <w:bookmarkEnd w:id="14"/>
    </w:p>
    <w:p w14:paraId="5ADE3FD0" w14:textId="21C84BE3" w:rsidR="007220A4" w:rsidRPr="007220A4" w:rsidRDefault="007220A4" w:rsidP="007220A4">
      <w:pPr>
        <w:pStyle w:val="Heading2"/>
      </w:pPr>
      <w:bookmarkStart w:id="15" w:name="_Toc88834871"/>
      <w:r>
        <w:t>Generelt</w:t>
      </w:r>
      <w:bookmarkEnd w:id="15"/>
    </w:p>
    <w:p w14:paraId="227259C4" w14:textId="77777777" w:rsidR="00EC7899" w:rsidRDefault="00EC7899" w:rsidP="00EC7899">
      <w:pPr>
        <w:pStyle w:val="BodyText"/>
      </w:pPr>
      <w:r w:rsidRPr="0095571F">
        <w:t>For såvel personbiler som for vare- og lastbiler indgår både faste og variable omkostninger i beregning af kørselsomkostningerne. Der er imidlertid forskelle på opgørelsesmetoden for personbiler henholdsvis for vare- og lastbiler.</w:t>
      </w:r>
    </w:p>
    <w:p w14:paraId="34C18B41" w14:textId="62C952F1" w:rsidR="007F7AA8" w:rsidRPr="0095571F" w:rsidRDefault="007F7AA8" w:rsidP="007F7AA8">
      <w:pPr>
        <w:pStyle w:val="Heading3"/>
      </w:pPr>
      <w:r>
        <w:t>Personbiler</w:t>
      </w:r>
    </w:p>
    <w:p w14:paraId="17EA6CB4" w14:textId="77777777" w:rsidR="00EC7899" w:rsidRPr="0095571F" w:rsidRDefault="00EC7899" w:rsidP="00EC7899">
      <w:pPr>
        <w:pStyle w:val="MarginFrame"/>
        <w:framePr w:wrap="around"/>
      </w:pPr>
      <w:r w:rsidRPr="0095571F">
        <w:t>Personbiler</w:t>
      </w:r>
    </w:p>
    <w:p w14:paraId="1758E739" w14:textId="331D04F6" w:rsidR="00EC7899" w:rsidRPr="0095571F" w:rsidRDefault="00EC7899" w:rsidP="00EC7899">
      <w:pPr>
        <w:pStyle w:val="BodyText"/>
      </w:pPr>
      <w:r w:rsidRPr="0095571F">
        <w:t>For personbiler opgøres kørselsomkostningerne alene som afstandsafhængige omkostninger</w:t>
      </w:r>
      <w:r w:rsidRPr="0095571F">
        <w:rPr>
          <w:rStyle w:val="FootnoteReference"/>
        </w:rPr>
        <w:footnoteReference w:id="7"/>
      </w:r>
      <w:r w:rsidRPr="0095571F">
        <w:t xml:space="preserve">, dvs. per kørt km., der dækker over </w:t>
      </w:r>
      <w:r>
        <w:t xml:space="preserve">både </w:t>
      </w:r>
      <w:r w:rsidRPr="0095571F">
        <w:t xml:space="preserve">faste og variable omkostninger for kørsel i bilen opdelt på </w:t>
      </w:r>
      <w:r>
        <w:t xml:space="preserve">afskrivninger, </w:t>
      </w:r>
      <w:r w:rsidRPr="0095571F">
        <w:t>reparation og vedligehold</w:t>
      </w:r>
      <w:r>
        <w:t xml:space="preserve"> samt dæk og naturligvis brændstof. </w:t>
      </w:r>
    </w:p>
    <w:p w14:paraId="48AB212A" w14:textId="77777777" w:rsidR="00EC7899" w:rsidRDefault="00EC7899" w:rsidP="00EC7899">
      <w:pPr>
        <w:pStyle w:val="BodyText"/>
      </w:pPr>
      <w:r>
        <w:t xml:space="preserve">For personbiler </w:t>
      </w:r>
      <w:r w:rsidRPr="0095571F">
        <w:t>opgøres både gennemsnitlige og marginale afstandsafhængige kørselsomkostninger</w:t>
      </w:r>
      <w:r w:rsidRPr="0095571F">
        <w:rPr>
          <w:rStyle w:val="FootnoteReference"/>
        </w:rPr>
        <w:footnoteReference w:id="8"/>
      </w:r>
      <w:r w:rsidRPr="0095571F">
        <w:t xml:space="preserve">. </w:t>
      </w:r>
      <w:r>
        <w:t xml:space="preserve">Disse opgøres endvidere eksklusiv såvel som inklusiv moms og afgifter. </w:t>
      </w:r>
    </w:p>
    <w:p w14:paraId="082E668A" w14:textId="30C0F390" w:rsidR="007220A4" w:rsidRDefault="00EC7899" w:rsidP="007F7AA8">
      <w:pPr>
        <w:pStyle w:val="BodyText"/>
      </w:pPr>
      <w:r>
        <w:t>Fordeling af gennemsnitlige og marginale (kilometerafhængige) omkostninger til reparation og vedligehold beregnes ud fra</w:t>
      </w:r>
      <w:r w:rsidR="00347208">
        <w:t>,</w:t>
      </w:r>
      <w:r>
        <w:t xml:space="preserve"> hvor mange kilometer bilerne kører om året. </w:t>
      </w:r>
    </w:p>
    <w:p w14:paraId="4F425379" w14:textId="62F3CF75" w:rsidR="00EC7899" w:rsidRDefault="00EC7899" w:rsidP="00EC7899">
      <w:pPr>
        <w:pStyle w:val="BodyText"/>
      </w:pPr>
      <w:r>
        <w:t>Den største post til reparation og vedligehold udgøres af de årlige serviceudgifter. Typisk skal en bil til service efter et antal kilometer eller efter et år afhængig af hvad der indtræffer først. For de biler</w:t>
      </w:r>
      <w:r w:rsidR="00B905B8">
        <w:t>,</w:t>
      </w:r>
      <w:r>
        <w:t xml:space="preserve"> der kører mindre end det antal kilometer, der er angivet i serviceintervallet, vil de marginale omkostninger til service være 0. For de øvrige biler beregnes de marginale omkostninger til service som udgiften til service divideret med antal kilometer. De gennemsnitlige marginale omkostninger beregnes herefter som et vægtet gennemsnit for de to grupper, hvor årskørslen indgår i vægtningen. Endelig beregnes andelen af marginale udgifter som de gennemsnitlige marginale divideret med de gennemsnitlige omkostninger</w:t>
      </w:r>
      <w:r>
        <w:rPr>
          <w:rStyle w:val="FootnoteReference"/>
        </w:rPr>
        <w:footnoteReference w:id="9"/>
      </w:r>
      <w:r>
        <w:t>.</w:t>
      </w:r>
      <w:r w:rsidR="008804F6">
        <w:t xml:space="preserve"> Ved </w:t>
      </w:r>
      <w:r w:rsidR="00E46A23">
        <w:t>opdateringen i 20</w:t>
      </w:r>
      <w:r w:rsidR="00794DA9">
        <w:t xml:space="preserve">19, </w:t>
      </w:r>
      <w:r w:rsidR="00210E14">
        <w:t>blev motorolie fjernet som en selvstændig omkostningskomponent, da den er indeholdt i de serviceaftaler som typisk indgås ved køb af nye biler. Da service</w:t>
      </w:r>
      <w:r w:rsidR="00A43D56">
        <w:t xml:space="preserve">omkostningerne er opgjort netop på baggrund af servicekontrakterne, vil omkostningen derfor </w:t>
      </w:r>
      <w:r w:rsidR="007220A4">
        <w:t xml:space="preserve">være talt med to gange. </w:t>
      </w:r>
    </w:p>
    <w:p w14:paraId="3E893BD3" w14:textId="35C6CEE1" w:rsidR="00EC7899" w:rsidRPr="004542DB" w:rsidRDefault="00EC7899" w:rsidP="00EC7899">
      <w:pPr>
        <w:pStyle w:val="BodyText"/>
      </w:pPr>
      <w:r>
        <w:t xml:space="preserve">Serviceintervaller varierer mellem bilmærker og modeller. På baggrund af en begrænset rundspørge og søgning på internettet er der vurderet, at typiske serviceintervaller er som </w:t>
      </w:r>
      <w:r w:rsidRPr="004542DB">
        <w:t xml:space="preserve">vist i </w:t>
      </w:r>
      <w:r w:rsidRPr="004542DB">
        <w:fldChar w:fldCharType="begin"/>
      </w:r>
      <w:r w:rsidRPr="004542DB">
        <w:instrText xml:space="preserve"> REF _Ref447263010 \h </w:instrText>
      </w:r>
      <w:r w:rsidR="003C742C" w:rsidRPr="004542DB">
        <w:instrText xml:space="preserve"> \* MERGEFORMAT </w:instrText>
      </w:r>
      <w:r w:rsidRPr="004542DB">
        <w:fldChar w:fldCharType="separate"/>
      </w:r>
      <w:r w:rsidRPr="004542DB">
        <w:t xml:space="preserve">Tabel </w:t>
      </w:r>
      <w:r w:rsidRPr="004542DB">
        <w:rPr>
          <w:noProof/>
        </w:rPr>
        <w:t>5</w:t>
      </w:r>
      <w:r w:rsidRPr="004542DB">
        <w:noBreakHyphen/>
      </w:r>
      <w:r w:rsidRPr="004542DB">
        <w:rPr>
          <w:noProof/>
        </w:rPr>
        <w:t>1</w:t>
      </w:r>
      <w:r w:rsidRPr="004542DB">
        <w:fldChar w:fldCharType="end"/>
      </w:r>
      <w:r w:rsidRPr="004542DB">
        <w:t>.</w:t>
      </w:r>
    </w:p>
    <w:p w14:paraId="31C8D296" w14:textId="035F3A0D" w:rsidR="00EC7899" w:rsidRPr="004542DB" w:rsidRDefault="00EC7899" w:rsidP="007220A4">
      <w:pPr>
        <w:pStyle w:val="Caption"/>
        <w:keepNext/>
        <w:keepLines/>
      </w:pPr>
      <w:bookmarkStart w:id="16" w:name="_Ref447263010"/>
      <w:r w:rsidRPr="004542DB">
        <w:lastRenderedPageBreak/>
        <w:t xml:space="preserve">Tabel </w:t>
      </w:r>
      <w:r w:rsidR="009A42BC">
        <w:fldChar w:fldCharType="begin"/>
      </w:r>
      <w:r w:rsidR="009A42BC">
        <w:instrText xml:space="preserve"> STYLEREF </w:instrText>
      </w:r>
      <w:r w:rsidR="009A42BC">
        <w:instrText xml:space="preserve">1 \s </w:instrText>
      </w:r>
      <w:r w:rsidR="009A42BC">
        <w:fldChar w:fldCharType="separate"/>
      </w:r>
      <w:r w:rsidR="00C7059A">
        <w:rPr>
          <w:noProof/>
        </w:rPr>
        <w:t>5</w:t>
      </w:r>
      <w:r w:rsidR="009A42BC">
        <w:rPr>
          <w:noProof/>
        </w:rPr>
        <w:fldChar w:fldCharType="end"/>
      </w:r>
      <w:r w:rsidR="00D14571" w:rsidRPr="004542DB">
        <w:noBreakHyphen/>
      </w:r>
      <w:r w:rsidR="009A42BC">
        <w:fldChar w:fldCharType="begin"/>
      </w:r>
      <w:r w:rsidR="009A42BC">
        <w:instrText xml:space="preserve"> SEQ Tabel \* ARABIC \s 1 </w:instrText>
      </w:r>
      <w:r w:rsidR="009A42BC">
        <w:fldChar w:fldCharType="separate"/>
      </w:r>
      <w:r w:rsidR="00C7059A">
        <w:rPr>
          <w:noProof/>
        </w:rPr>
        <w:t>1</w:t>
      </w:r>
      <w:r w:rsidR="009A42BC">
        <w:rPr>
          <w:noProof/>
        </w:rPr>
        <w:fldChar w:fldCharType="end"/>
      </w:r>
      <w:bookmarkEnd w:id="16"/>
      <w:r w:rsidRPr="004542DB">
        <w:t xml:space="preserve"> </w:t>
      </w:r>
      <w:r w:rsidR="00DB1FFD">
        <w:tab/>
      </w:r>
      <w:r w:rsidRPr="004542DB">
        <w:t>Anvendte serviceintervaller</w:t>
      </w:r>
    </w:p>
    <w:tbl>
      <w:tblPr>
        <w:tblStyle w:val="GridTable5Dark-Accent31"/>
        <w:tblW w:w="0" w:type="auto"/>
        <w:tblLayout w:type="fixed"/>
        <w:tblLook w:val="04A0" w:firstRow="1" w:lastRow="0" w:firstColumn="1" w:lastColumn="0" w:noHBand="0" w:noVBand="1"/>
      </w:tblPr>
      <w:tblGrid>
        <w:gridCol w:w="2493"/>
        <w:gridCol w:w="2493"/>
        <w:gridCol w:w="2493"/>
      </w:tblGrid>
      <w:tr w:rsidR="00EC7899" w:rsidRPr="004542DB" w14:paraId="5FF25500" w14:textId="77777777" w:rsidTr="00F36A10">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493" w:type="dxa"/>
            <w:noWrap/>
            <w:hideMark/>
          </w:tcPr>
          <w:p w14:paraId="0043A288" w14:textId="77777777" w:rsidR="00EC7899" w:rsidRPr="004542DB" w:rsidRDefault="00EC7899" w:rsidP="007220A4">
            <w:pPr>
              <w:pStyle w:val="BodyText"/>
              <w:keepNext/>
              <w:keepLines/>
            </w:pPr>
            <w:r w:rsidRPr="004542DB">
              <w:t>Størrelse</w:t>
            </w:r>
          </w:p>
        </w:tc>
        <w:tc>
          <w:tcPr>
            <w:tcW w:w="2493" w:type="dxa"/>
            <w:noWrap/>
            <w:hideMark/>
          </w:tcPr>
          <w:p w14:paraId="3DBEED4F" w14:textId="77777777" w:rsidR="00EC7899" w:rsidRPr="004542DB" w:rsidRDefault="00EC7899" w:rsidP="007220A4">
            <w:pPr>
              <w:pStyle w:val="BodyText"/>
              <w:keepNext/>
              <w:keepLines/>
              <w:jc w:val="center"/>
              <w:cnfStyle w:val="100000000000" w:firstRow="1" w:lastRow="0" w:firstColumn="0" w:lastColumn="0" w:oddVBand="0" w:evenVBand="0" w:oddHBand="0" w:evenHBand="0" w:firstRowFirstColumn="0" w:firstRowLastColumn="0" w:lastRowFirstColumn="0" w:lastRowLastColumn="0"/>
            </w:pPr>
            <w:r w:rsidRPr="004542DB">
              <w:t>Benzin</w:t>
            </w:r>
          </w:p>
        </w:tc>
        <w:tc>
          <w:tcPr>
            <w:tcW w:w="2493" w:type="dxa"/>
            <w:noWrap/>
            <w:hideMark/>
          </w:tcPr>
          <w:p w14:paraId="60A2C87D" w14:textId="77777777" w:rsidR="00EC7899" w:rsidRPr="004542DB" w:rsidRDefault="00EC7899" w:rsidP="007220A4">
            <w:pPr>
              <w:pStyle w:val="BodyText"/>
              <w:keepNext/>
              <w:keepLines/>
              <w:jc w:val="center"/>
              <w:cnfStyle w:val="100000000000" w:firstRow="1" w:lastRow="0" w:firstColumn="0" w:lastColumn="0" w:oddVBand="0" w:evenVBand="0" w:oddHBand="0" w:evenHBand="0" w:firstRowFirstColumn="0" w:firstRowLastColumn="0" w:lastRowFirstColumn="0" w:lastRowLastColumn="0"/>
            </w:pPr>
            <w:r w:rsidRPr="004542DB">
              <w:t>Diesel</w:t>
            </w:r>
          </w:p>
        </w:tc>
      </w:tr>
      <w:tr w:rsidR="00EC7899" w:rsidRPr="004542DB" w14:paraId="68ED7FA9" w14:textId="77777777" w:rsidTr="00F36A10">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493" w:type="dxa"/>
            <w:noWrap/>
            <w:hideMark/>
          </w:tcPr>
          <w:p w14:paraId="6EB3C8EC" w14:textId="77777777" w:rsidR="00EC7899" w:rsidRPr="004542DB" w:rsidRDefault="00EC7899" w:rsidP="007220A4">
            <w:pPr>
              <w:pStyle w:val="BodyText"/>
              <w:keepNext/>
              <w:keepLines/>
            </w:pPr>
            <w:r w:rsidRPr="004542DB">
              <w:t>Mini</w:t>
            </w:r>
          </w:p>
        </w:tc>
        <w:tc>
          <w:tcPr>
            <w:tcW w:w="2493" w:type="dxa"/>
            <w:hideMark/>
          </w:tcPr>
          <w:p w14:paraId="02300378" w14:textId="77777777" w:rsidR="00EC7899" w:rsidRPr="004542DB" w:rsidRDefault="00EC7899" w:rsidP="007220A4">
            <w:pPr>
              <w:pStyle w:val="BodyText"/>
              <w:keepNext/>
              <w:keepLines/>
              <w:jc w:val="center"/>
              <w:cnfStyle w:val="000000100000" w:firstRow="0" w:lastRow="0" w:firstColumn="0" w:lastColumn="0" w:oddVBand="0" w:evenVBand="0" w:oddHBand="1" w:evenHBand="0" w:firstRowFirstColumn="0" w:firstRowLastColumn="0" w:lastRowFirstColumn="0" w:lastRowLastColumn="0"/>
            </w:pPr>
            <w:r w:rsidRPr="004542DB">
              <w:t>15.000</w:t>
            </w:r>
          </w:p>
        </w:tc>
        <w:tc>
          <w:tcPr>
            <w:tcW w:w="2493" w:type="dxa"/>
          </w:tcPr>
          <w:p w14:paraId="0701BE48" w14:textId="77777777" w:rsidR="00EC7899" w:rsidRPr="004542DB" w:rsidRDefault="00EC7899" w:rsidP="007220A4">
            <w:pPr>
              <w:pStyle w:val="BodyText"/>
              <w:keepNext/>
              <w:keepLines/>
              <w:jc w:val="center"/>
              <w:cnfStyle w:val="000000100000" w:firstRow="0" w:lastRow="0" w:firstColumn="0" w:lastColumn="0" w:oddVBand="0" w:evenVBand="0" w:oddHBand="1" w:evenHBand="0" w:firstRowFirstColumn="0" w:firstRowLastColumn="0" w:lastRowFirstColumn="0" w:lastRowLastColumn="0"/>
            </w:pPr>
          </w:p>
        </w:tc>
      </w:tr>
      <w:tr w:rsidR="00EC7899" w:rsidRPr="004542DB" w14:paraId="6AE979C8" w14:textId="77777777" w:rsidTr="00F36A10">
        <w:trPr>
          <w:trHeight w:hRule="exact" w:val="397"/>
        </w:trPr>
        <w:tc>
          <w:tcPr>
            <w:cnfStyle w:val="001000000000" w:firstRow="0" w:lastRow="0" w:firstColumn="1" w:lastColumn="0" w:oddVBand="0" w:evenVBand="0" w:oddHBand="0" w:evenHBand="0" w:firstRowFirstColumn="0" w:firstRowLastColumn="0" w:lastRowFirstColumn="0" w:lastRowLastColumn="0"/>
            <w:tcW w:w="2493" w:type="dxa"/>
            <w:noWrap/>
            <w:hideMark/>
          </w:tcPr>
          <w:p w14:paraId="7A476D5E" w14:textId="77777777" w:rsidR="00EC7899" w:rsidRPr="004542DB" w:rsidRDefault="00EC7899" w:rsidP="007220A4">
            <w:pPr>
              <w:pStyle w:val="BodyText"/>
              <w:keepNext/>
              <w:keepLines/>
            </w:pPr>
            <w:r w:rsidRPr="004542DB">
              <w:t>Lille</w:t>
            </w:r>
          </w:p>
        </w:tc>
        <w:tc>
          <w:tcPr>
            <w:tcW w:w="2493" w:type="dxa"/>
            <w:hideMark/>
          </w:tcPr>
          <w:p w14:paraId="213BB127" w14:textId="77777777" w:rsidR="00EC7899" w:rsidRPr="004542DB" w:rsidRDefault="00EC7899" w:rsidP="007220A4">
            <w:pPr>
              <w:pStyle w:val="BodyText"/>
              <w:keepNext/>
              <w:keepLines/>
              <w:jc w:val="center"/>
              <w:cnfStyle w:val="000000000000" w:firstRow="0" w:lastRow="0" w:firstColumn="0" w:lastColumn="0" w:oddVBand="0" w:evenVBand="0" w:oddHBand="0" w:evenHBand="0" w:firstRowFirstColumn="0" w:firstRowLastColumn="0" w:lastRowFirstColumn="0" w:lastRowLastColumn="0"/>
            </w:pPr>
            <w:r w:rsidRPr="004542DB">
              <w:t>17.500</w:t>
            </w:r>
          </w:p>
        </w:tc>
        <w:tc>
          <w:tcPr>
            <w:tcW w:w="2493" w:type="dxa"/>
            <w:hideMark/>
          </w:tcPr>
          <w:p w14:paraId="0A07DE58" w14:textId="77777777" w:rsidR="00EC7899" w:rsidRPr="004542DB" w:rsidRDefault="00EC7899" w:rsidP="007220A4">
            <w:pPr>
              <w:pStyle w:val="BodyText"/>
              <w:keepNext/>
              <w:keepLines/>
              <w:jc w:val="center"/>
              <w:cnfStyle w:val="000000000000" w:firstRow="0" w:lastRow="0" w:firstColumn="0" w:lastColumn="0" w:oddVBand="0" w:evenVBand="0" w:oddHBand="0" w:evenHBand="0" w:firstRowFirstColumn="0" w:firstRowLastColumn="0" w:lastRowFirstColumn="0" w:lastRowLastColumn="0"/>
            </w:pPr>
            <w:r w:rsidRPr="004542DB">
              <w:t>17.500</w:t>
            </w:r>
          </w:p>
        </w:tc>
      </w:tr>
      <w:tr w:rsidR="00EC7899" w:rsidRPr="004542DB" w14:paraId="7B80F889" w14:textId="77777777" w:rsidTr="00F36A10">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493" w:type="dxa"/>
            <w:noWrap/>
            <w:hideMark/>
          </w:tcPr>
          <w:p w14:paraId="19F1E71E" w14:textId="77777777" w:rsidR="00EC7899" w:rsidRPr="004542DB" w:rsidRDefault="00EC7899" w:rsidP="007220A4">
            <w:pPr>
              <w:pStyle w:val="BodyText"/>
              <w:keepNext/>
              <w:keepLines/>
            </w:pPr>
            <w:r w:rsidRPr="004542DB">
              <w:t>Mellem</w:t>
            </w:r>
          </w:p>
        </w:tc>
        <w:tc>
          <w:tcPr>
            <w:tcW w:w="2493" w:type="dxa"/>
            <w:hideMark/>
          </w:tcPr>
          <w:p w14:paraId="703C2E4E" w14:textId="77777777" w:rsidR="00EC7899" w:rsidRPr="004542DB" w:rsidRDefault="00EC7899" w:rsidP="007220A4">
            <w:pPr>
              <w:pStyle w:val="BodyText"/>
              <w:keepNext/>
              <w:keepLines/>
              <w:jc w:val="center"/>
              <w:cnfStyle w:val="000000100000" w:firstRow="0" w:lastRow="0" w:firstColumn="0" w:lastColumn="0" w:oddVBand="0" w:evenVBand="0" w:oddHBand="1" w:evenHBand="0" w:firstRowFirstColumn="0" w:firstRowLastColumn="0" w:lastRowFirstColumn="0" w:lastRowLastColumn="0"/>
            </w:pPr>
            <w:r w:rsidRPr="004542DB">
              <w:t>20.000</w:t>
            </w:r>
          </w:p>
        </w:tc>
        <w:tc>
          <w:tcPr>
            <w:tcW w:w="2493" w:type="dxa"/>
            <w:hideMark/>
          </w:tcPr>
          <w:p w14:paraId="4FC96052" w14:textId="77777777" w:rsidR="00EC7899" w:rsidRPr="004542DB" w:rsidRDefault="00EC7899" w:rsidP="007220A4">
            <w:pPr>
              <w:pStyle w:val="BodyText"/>
              <w:keepNext/>
              <w:keepLines/>
              <w:jc w:val="center"/>
              <w:cnfStyle w:val="000000100000" w:firstRow="0" w:lastRow="0" w:firstColumn="0" w:lastColumn="0" w:oddVBand="0" w:evenVBand="0" w:oddHBand="1" w:evenHBand="0" w:firstRowFirstColumn="0" w:firstRowLastColumn="0" w:lastRowFirstColumn="0" w:lastRowLastColumn="0"/>
            </w:pPr>
            <w:r w:rsidRPr="004542DB">
              <w:t>22.500</w:t>
            </w:r>
          </w:p>
        </w:tc>
      </w:tr>
      <w:tr w:rsidR="00EC7899" w:rsidRPr="00B46136" w14:paraId="414E5D4F" w14:textId="77777777" w:rsidTr="00F36A10">
        <w:trPr>
          <w:trHeight w:hRule="exact" w:val="397"/>
        </w:trPr>
        <w:tc>
          <w:tcPr>
            <w:cnfStyle w:val="001000000000" w:firstRow="0" w:lastRow="0" w:firstColumn="1" w:lastColumn="0" w:oddVBand="0" w:evenVBand="0" w:oddHBand="0" w:evenHBand="0" w:firstRowFirstColumn="0" w:firstRowLastColumn="0" w:lastRowFirstColumn="0" w:lastRowLastColumn="0"/>
            <w:tcW w:w="2493" w:type="dxa"/>
            <w:noWrap/>
            <w:hideMark/>
          </w:tcPr>
          <w:p w14:paraId="1DCB9C4E" w14:textId="77777777" w:rsidR="00EC7899" w:rsidRPr="004542DB" w:rsidRDefault="00EC7899" w:rsidP="007220A4">
            <w:pPr>
              <w:pStyle w:val="BodyText"/>
              <w:keepNext/>
              <w:keepLines/>
            </w:pPr>
            <w:r w:rsidRPr="004542DB">
              <w:t>Stor</w:t>
            </w:r>
          </w:p>
        </w:tc>
        <w:tc>
          <w:tcPr>
            <w:tcW w:w="2493" w:type="dxa"/>
            <w:hideMark/>
          </w:tcPr>
          <w:p w14:paraId="27380B9E" w14:textId="77777777" w:rsidR="00EC7899" w:rsidRPr="004542DB" w:rsidRDefault="00EC7899" w:rsidP="007220A4">
            <w:pPr>
              <w:pStyle w:val="BodyText"/>
              <w:keepNext/>
              <w:keepLines/>
              <w:jc w:val="center"/>
              <w:cnfStyle w:val="000000000000" w:firstRow="0" w:lastRow="0" w:firstColumn="0" w:lastColumn="0" w:oddVBand="0" w:evenVBand="0" w:oddHBand="0" w:evenHBand="0" w:firstRowFirstColumn="0" w:firstRowLastColumn="0" w:lastRowFirstColumn="0" w:lastRowLastColumn="0"/>
            </w:pPr>
            <w:r w:rsidRPr="004542DB">
              <w:t>22.500</w:t>
            </w:r>
          </w:p>
        </w:tc>
        <w:tc>
          <w:tcPr>
            <w:tcW w:w="2493" w:type="dxa"/>
            <w:noWrap/>
            <w:hideMark/>
          </w:tcPr>
          <w:p w14:paraId="2C22777A" w14:textId="77777777" w:rsidR="00EC7899" w:rsidRPr="004542DB" w:rsidRDefault="00EC7899" w:rsidP="007220A4">
            <w:pPr>
              <w:pStyle w:val="BodyText"/>
              <w:keepNext/>
              <w:keepLines/>
              <w:jc w:val="center"/>
              <w:cnfStyle w:val="000000000000" w:firstRow="0" w:lastRow="0" w:firstColumn="0" w:lastColumn="0" w:oddVBand="0" w:evenVBand="0" w:oddHBand="0" w:evenHBand="0" w:firstRowFirstColumn="0" w:firstRowLastColumn="0" w:lastRowFirstColumn="0" w:lastRowLastColumn="0"/>
            </w:pPr>
            <w:r w:rsidRPr="004542DB">
              <w:t>25.000</w:t>
            </w:r>
          </w:p>
        </w:tc>
      </w:tr>
    </w:tbl>
    <w:p w14:paraId="765E7F4E" w14:textId="77777777" w:rsidR="00EC7899" w:rsidRDefault="00EC7899" w:rsidP="007220A4">
      <w:pPr>
        <w:pStyle w:val="BodyText"/>
        <w:keepNext/>
        <w:keepLines/>
      </w:pPr>
    </w:p>
    <w:p w14:paraId="2246CAD9" w14:textId="7DD233FB" w:rsidR="00EC7899" w:rsidRDefault="00EC7899" w:rsidP="00EC7899">
      <w:pPr>
        <w:pStyle w:val="BodyText"/>
      </w:pPr>
      <w:r>
        <w:t>De således opgjorte kørselsomkostninger for personbiler vil som udgangspunkt afspejle markedspriser - ved privat anvendelse. Ved erhvervsmæssig anvendelse vil kørselsomkostningen eksklusiv</w:t>
      </w:r>
      <w:r w:rsidR="00B905B8">
        <w:t>e</w:t>
      </w:r>
      <w:r>
        <w:t xml:space="preserve"> moms og afgifter, men dog tillagt ikke-</w:t>
      </w:r>
      <w:proofErr w:type="spellStart"/>
      <w:r>
        <w:t>refunderbare</w:t>
      </w:r>
      <w:proofErr w:type="spellEnd"/>
      <w:r>
        <w:t xml:space="preserve"> afgifter, imidlertid svare til erhvervets omkostning ved transport og kan dermed betragtes som værende angivet i faktorpriser. For at afspejle markedspriser i en samfundsøkonomisk analyse skal disse derfor opregnes med nettoafgiftsfaktoren</w:t>
      </w:r>
      <w:r>
        <w:rPr>
          <w:rStyle w:val="FootnoteReference"/>
        </w:rPr>
        <w:footnoteReference w:id="10"/>
      </w:r>
      <w:r>
        <w:t>.</w:t>
      </w:r>
    </w:p>
    <w:p w14:paraId="21BA7907" w14:textId="12B4BFE8" w:rsidR="007F7AA8" w:rsidRPr="0095571F" w:rsidRDefault="007F7AA8" w:rsidP="007F7AA8">
      <w:pPr>
        <w:pStyle w:val="Heading3"/>
      </w:pPr>
      <w:r>
        <w:t>Vare- og lastbiler</w:t>
      </w:r>
    </w:p>
    <w:p w14:paraId="10E0B5E2" w14:textId="77777777" w:rsidR="00EC7899" w:rsidRPr="0095571F" w:rsidRDefault="00EC7899" w:rsidP="00EC7899">
      <w:pPr>
        <w:pStyle w:val="MarginFrame"/>
        <w:framePr w:wrap="around"/>
      </w:pPr>
      <w:r w:rsidRPr="0095571F">
        <w:t xml:space="preserve">Vare- og lastbiler </w:t>
      </w:r>
    </w:p>
    <w:p w14:paraId="17AE6AC8" w14:textId="1C5411C8" w:rsidR="00EC7899" w:rsidRPr="00DF4129" w:rsidRDefault="00EC7899" w:rsidP="00EC7899">
      <w:pPr>
        <w:pStyle w:val="BodyText"/>
      </w:pPr>
      <w:r w:rsidRPr="0095571F">
        <w:t>For vare- og lastbiler opgøres kørselsomkostningerne dels som faste omkostninger</w:t>
      </w:r>
      <w:r w:rsidR="00F87047">
        <w:t>,</w:t>
      </w:r>
      <w:r w:rsidRPr="0095571F">
        <w:t xml:space="preserve"> der er tidsafhængige, dvs. per driftstime</w:t>
      </w:r>
      <w:r>
        <w:t>,</w:t>
      </w:r>
      <w:r w:rsidRPr="0095571F">
        <w:t xml:space="preserve"> og dels som variable omkostninger</w:t>
      </w:r>
      <w:r>
        <w:t>,</w:t>
      </w:r>
      <w:r w:rsidRPr="0095571F">
        <w:t xml:space="preserve"> der er </w:t>
      </w:r>
      <w:r w:rsidRPr="00DF4129">
        <w:t xml:space="preserve">afstandsafhængige, dvs. per kørt km. </w:t>
      </w:r>
    </w:p>
    <w:p w14:paraId="19433FAB" w14:textId="3E6AB8EF" w:rsidR="00EC7899" w:rsidRDefault="00EC7899" w:rsidP="00EC7899">
      <w:pPr>
        <w:pStyle w:val="BodyText"/>
      </w:pPr>
      <w:r w:rsidRPr="00DF4129">
        <w:t>De afstandsafhængige variable omkostninger dækker over (en andel af) afskrivninger/kapital-omkostninger, (en andel af) reparation og vedligeholdelse samt dæk og brændstof, mens de tidsafhængige faste omkostninger dækker over (den resterende andel af) afskrivninger/kapital-omkostninger, (den resterende andel af) reparation og vedligeholdelse samt løn og kapacitetsomkostninger.</w:t>
      </w:r>
    </w:p>
    <w:p w14:paraId="43EE41C3" w14:textId="77777777" w:rsidR="00EC7899" w:rsidRDefault="00EC7899" w:rsidP="00EC7899">
      <w:pPr>
        <w:pStyle w:val="BodyText"/>
      </w:pPr>
      <w:r>
        <w:t xml:space="preserve">Både de </w:t>
      </w:r>
      <w:r w:rsidRPr="00DF4129">
        <w:t>afstandsafhængige variable omkostninger</w:t>
      </w:r>
      <w:r>
        <w:t xml:space="preserve"> og </w:t>
      </w:r>
      <w:r w:rsidRPr="00DF4129">
        <w:t>de tidsafh</w:t>
      </w:r>
      <w:r>
        <w:t>ængige faste omkostninger opgøres endvidere eksklusiv såvel som inklusiv ikke-</w:t>
      </w:r>
      <w:proofErr w:type="spellStart"/>
      <w:r>
        <w:t>refunderbare</w:t>
      </w:r>
      <w:proofErr w:type="spellEnd"/>
      <w:r>
        <w:t xml:space="preserve"> afgifter, dvs. henholdsvis brændstofafgifter </w:t>
      </w:r>
      <w:r w:rsidRPr="00D05ECC">
        <w:t>og (en andel af) registreringsafgiften for så vidt angår de variable omkostninger</w:t>
      </w:r>
      <w:r>
        <w:t>,</w:t>
      </w:r>
      <w:r w:rsidRPr="00D05ECC">
        <w:t xml:space="preserve"> og vejafgifter</w:t>
      </w:r>
      <w:r>
        <w:rPr>
          <w:rStyle w:val="FootnoteReference"/>
        </w:rPr>
        <w:footnoteReference w:id="11"/>
      </w:r>
      <w:r w:rsidRPr="00D05ECC">
        <w:t xml:space="preserve"> samt (den resterende andel af) registreringsafgiften for så vidt angår de faste omkostninger</w:t>
      </w:r>
      <w:r>
        <w:rPr>
          <w:rStyle w:val="FootnoteReference"/>
        </w:rPr>
        <w:footnoteReference w:id="12"/>
      </w:r>
      <w:r w:rsidRPr="00D05ECC">
        <w:t xml:space="preserve">. </w:t>
      </w:r>
    </w:p>
    <w:p w14:paraId="265DA9FC" w14:textId="77777777" w:rsidR="00EC7899" w:rsidRDefault="00EC7899" w:rsidP="00EC7899">
      <w:pPr>
        <w:pStyle w:val="BodyText"/>
      </w:pPr>
      <w:r>
        <w:t>De således opgjorte kørselsomkostninger for vare- og lastbiler vil svare til virksomhedens variable og faste omkostning ved transport og distribution og kan dermed betragtes som værende angivet i faktorpriser. For at afspejle markedspriser i en samfundsøkonomisk analyse skal disse derfor opregnes med nettoafgiftsfaktoren</w:t>
      </w:r>
      <w:r>
        <w:rPr>
          <w:rStyle w:val="FootnoteReference"/>
        </w:rPr>
        <w:footnoteReference w:id="13"/>
      </w:r>
      <w:r>
        <w:t>.</w:t>
      </w:r>
    </w:p>
    <w:p w14:paraId="52D3CD28" w14:textId="3AB7EFEB" w:rsidR="00EC7899" w:rsidRDefault="00EC7899" w:rsidP="00EC7899">
      <w:pPr>
        <w:pStyle w:val="BodyText"/>
      </w:pPr>
      <w:r>
        <w:lastRenderedPageBreak/>
        <w:t>I det følgende beskrives opgørelsen af omkostningskomponenterne og det bagvedliggende datagrundlag nærmere.</w:t>
      </w:r>
    </w:p>
    <w:p w14:paraId="3D7BD6E0" w14:textId="5E710EA1" w:rsidR="00F36A10" w:rsidRDefault="00F36A10" w:rsidP="00AB1BA5">
      <w:pPr>
        <w:pStyle w:val="Heading2"/>
      </w:pPr>
      <w:bookmarkStart w:id="17" w:name="_Toc88834872"/>
      <w:r>
        <w:t>Prisniveau og andre forudsætninger</w:t>
      </w:r>
      <w:bookmarkEnd w:id="17"/>
    </w:p>
    <w:p w14:paraId="06E33F7D" w14:textId="60231218" w:rsidR="00F36A10" w:rsidRDefault="00F36A10" w:rsidP="00F36A10">
      <w:pPr>
        <w:pStyle w:val="BodyText"/>
      </w:pPr>
      <w:proofErr w:type="spellStart"/>
      <w:r>
        <w:t>Nybilprisen</w:t>
      </w:r>
      <w:proofErr w:type="spellEnd"/>
      <w:r>
        <w:t xml:space="preserve"> er den pris som bilen kostede da den blev anskaffet. Bilpriserne er ikke korrigeret for prisudvikling fra de blev anskaffe</w:t>
      </w:r>
      <w:r w:rsidRPr="00590118">
        <w:t xml:space="preserve">t til </w:t>
      </w:r>
      <w:r w:rsidR="00F87047" w:rsidRPr="00590118">
        <w:t>2021</w:t>
      </w:r>
      <w:r w:rsidRPr="00590118">
        <w:t>.</w:t>
      </w:r>
      <w:r>
        <w:t xml:space="preserve"> Det er valgt fordi det gennemsnitlige </w:t>
      </w:r>
      <w:proofErr w:type="spellStart"/>
      <w:r>
        <w:t>prisindex</w:t>
      </w:r>
      <w:proofErr w:type="spellEnd"/>
      <w:r>
        <w:t xml:space="preserve"> ikke er nogen god indikator for de konkrete biler. Bilproducenternes prispolitik er ofte at fastholde prisen på en given model og måske snarere sætte prisen ned i slutningen af modellens levetid. Dertil kommer, at der samtidig med prisudviklingen også er sket en teknologisk udvikling, således at den konkrete bil for eksempel fra </w:t>
      </w:r>
      <w:r w:rsidRPr="00590118">
        <w:t>20</w:t>
      </w:r>
      <w:r w:rsidR="00F87047" w:rsidRPr="00590118">
        <w:t>16</w:t>
      </w:r>
      <w:r w:rsidRPr="00590118">
        <w:t xml:space="preserve"> ikke længere er den samme som en tilsvarende model fra 20</w:t>
      </w:r>
      <w:r w:rsidR="00F87047" w:rsidRPr="00590118">
        <w:t>21</w:t>
      </w:r>
      <w:r w:rsidRPr="00590118">
        <w:t>.</w:t>
      </w:r>
      <w:r>
        <w:t xml:space="preserve"> </w:t>
      </w:r>
    </w:p>
    <w:p w14:paraId="324B1EA4" w14:textId="27D7BFB2" w:rsidR="00F36A10" w:rsidRDefault="00F36A10" w:rsidP="00F36A10">
      <w:pPr>
        <w:pStyle w:val="BodyText"/>
      </w:pPr>
      <w:r>
        <w:t xml:space="preserve">Bilpriserne </w:t>
      </w:r>
      <w:r w:rsidR="00AA3B3D">
        <w:t xml:space="preserve">er indhentet ved (som tidligere opdateringer) at indhente </w:t>
      </w:r>
      <w:r w:rsidR="00B419F8">
        <w:t xml:space="preserve">de annoncerede priser for de tre mest solgte varianter indenfor hver kategori som allerede beskrevet. For at </w:t>
      </w:r>
      <w:r w:rsidR="006E0991">
        <w:t xml:space="preserve">kunne beregne de korrekte afgifter for det konkrete år, hvor kørselsomkostningerne skal </w:t>
      </w:r>
      <w:r w:rsidR="00743B0D">
        <w:t>beregnes for, er det nødvendigt at fastlægge, hvad prisen er eksklusiv</w:t>
      </w:r>
      <w:r w:rsidR="00C54BD1">
        <w:t>e moms og</w:t>
      </w:r>
      <w:r w:rsidR="00743B0D">
        <w:t xml:space="preserve"> registreringsafgift</w:t>
      </w:r>
      <w:r w:rsidR="00C54BD1">
        <w:t xml:space="preserve"> (basisprisen)</w:t>
      </w:r>
      <w:r w:rsidR="00AC3271">
        <w:t>. Der er for hver af de udvalgte biler derfor beregnet en sådan pris</w:t>
      </w:r>
      <w:r w:rsidR="00AC2136">
        <w:t xml:space="preserve"> ved at finde den pris, der før afgifter og moms med de konkrete satser i 2021</w:t>
      </w:r>
      <w:r w:rsidR="00E145F3">
        <w:t>, giver den vejledende udsalgspris.</w:t>
      </w:r>
      <w:r w:rsidR="00C54BD1">
        <w:t xml:space="preserve"> </w:t>
      </w:r>
      <w:r w:rsidR="005F3581">
        <w:t xml:space="preserve">Denne pris er derefter indlagt i modellen, og der er herefter beregnet registreringsafgift, hvor der tages hensyn til de konkrete satser i det enkelte år. I afsnit </w:t>
      </w:r>
      <w:r w:rsidR="005F3581">
        <w:fldChar w:fldCharType="begin"/>
      </w:r>
      <w:r w:rsidR="005F3581">
        <w:instrText xml:space="preserve"> REF _Ref88750809 \r \h </w:instrText>
      </w:r>
      <w:r w:rsidR="005F3581">
        <w:fldChar w:fldCharType="separate"/>
      </w:r>
      <w:r w:rsidR="00B54714">
        <w:t>6</w:t>
      </w:r>
      <w:r w:rsidR="005F3581">
        <w:fldChar w:fldCharType="end"/>
      </w:r>
      <w:r w:rsidR="005F3581">
        <w:t xml:space="preserve"> gennemgås </w:t>
      </w:r>
      <w:r w:rsidR="006D1A42">
        <w:t>i lidt flere detaljer, hvordan beregningerne for fremtidige år udføres i modellen.</w:t>
      </w:r>
    </w:p>
    <w:p w14:paraId="6B8A5CA3" w14:textId="613AEEAA" w:rsidR="00F36A10" w:rsidRDefault="00F36A10" w:rsidP="00AB1BA5">
      <w:pPr>
        <w:pStyle w:val="Heading2"/>
      </w:pPr>
      <w:bookmarkStart w:id="18" w:name="_Toc88834873"/>
      <w:r>
        <w:t>Afskrivninger/kapital-omkostninger</w:t>
      </w:r>
      <w:bookmarkEnd w:id="18"/>
    </w:p>
    <w:p w14:paraId="1775F50D" w14:textId="77777777" w:rsidR="00F36A10" w:rsidRDefault="00F36A10" w:rsidP="00F36A10">
      <w:pPr>
        <w:pStyle w:val="BodyText"/>
      </w:pPr>
      <w:r>
        <w:t>Der er beregnet både gennemsnitlige og marginale afskrivninger for både person-, vare- og lastbiler.</w:t>
      </w:r>
    </w:p>
    <w:p w14:paraId="2346C519" w14:textId="77777777" w:rsidR="00F36A10" w:rsidRDefault="00F36A10" w:rsidP="00F36A10">
      <w:pPr>
        <w:pStyle w:val="BodyText"/>
      </w:pPr>
      <w:r>
        <w:t xml:space="preserve">De gennemsnitlige afskrivninger per km er beregnet som bilernes nypris divideret med bilernes samlede levetidskilometer. </w:t>
      </w:r>
    </w:p>
    <w:p w14:paraId="76D80090" w14:textId="37D35304" w:rsidR="00F36A10" w:rsidRDefault="00F36A10" w:rsidP="00F36A10">
      <w:pPr>
        <w:pStyle w:val="BodyText"/>
      </w:pPr>
      <w:r>
        <w:t>De marginale afskrivninger på person- og varebiler er baseret på dataudtræk fra hjemmesiden www.bilpriser.dk. På denne side kan man beregne den forventede salgspris på konkrete biler med forskellige karakteristika, herunder forskellig kilometerstand. For hver af de konkrete udvalgte biler er det beregnet</w:t>
      </w:r>
      <w:r w:rsidR="00F87047">
        <w:t>,</w:t>
      </w:r>
      <w:r>
        <w:t xml:space="preserve"> hvilken salgspris man kan forvente af få for bilen med to forskellige kilometertal. Den absolutte marginale afskrivning per kilometer er herefter beregnet ved at dividere prisforskellen med forskellen i kilometer. Endelig er den relative marginale afskrivning beregnet ved at dividere den absolutte marginale afskrivning med bilens nypris.</w:t>
      </w:r>
    </w:p>
    <w:p w14:paraId="786700D3" w14:textId="3A54EA58" w:rsidR="005445C5" w:rsidRDefault="005445C5" w:rsidP="005445C5">
      <w:pPr>
        <w:pStyle w:val="BodyText"/>
      </w:pPr>
      <w:r>
        <w:t>Beregnet på denne måde fås afskrivninger so</w:t>
      </w:r>
      <w:r w:rsidRPr="006D1A42">
        <w:t xml:space="preserve">m i </w:t>
      </w:r>
      <w:r w:rsidRPr="006D1A42">
        <w:fldChar w:fldCharType="begin"/>
      </w:r>
      <w:r w:rsidRPr="006D1A42">
        <w:instrText xml:space="preserve"> REF _Ref447296040 \h  \* MERGEFORMAT </w:instrText>
      </w:r>
      <w:r w:rsidRPr="006D1A42">
        <w:fldChar w:fldCharType="separate"/>
      </w:r>
      <w:r w:rsidRPr="006D1A42">
        <w:t xml:space="preserve">Tabel </w:t>
      </w:r>
      <w:r w:rsidRPr="006D1A42">
        <w:rPr>
          <w:noProof/>
        </w:rPr>
        <w:t>5</w:t>
      </w:r>
      <w:r w:rsidRPr="006D1A42">
        <w:noBreakHyphen/>
      </w:r>
      <w:r w:rsidRPr="006D1A42">
        <w:rPr>
          <w:noProof/>
        </w:rPr>
        <w:t>2</w:t>
      </w:r>
      <w:r w:rsidRPr="006D1A42">
        <w:fldChar w:fldCharType="end"/>
      </w:r>
      <w:r w:rsidR="00221102" w:rsidRPr="006D1A42">
        <w:t>.</w:t>
      </w:r>
    </w:p>
    <w:p w14:paraId="229792DE" w14:textId="16883DE3" w:rsidR="00C71090" w:rsidRPr="00C71090" w:rsidRDefault="005445C5" w:rsidP="00B54714">
      <w:pPr>
        <w:pStyle w:val="Caption"/>
        <w:keepNext/>
        <w:keepLines/>
      </w:pPr>
      <w:bookmarkStart w:id="19" w:name="_Ref447296040"/>
      <w:r>
        <w:lastRenderedPageBreak/>
        <w:t xml:space="preserve">Tabel </w:t>
      </w:r>
      <w:r w:rsidR="009A42BC">
        <w:fldChar w:fldCharType="begin"/>
      </w:r>
      <w:r w:rsidR="009A42BC">
        <w:instrText xml:space="preserve"> STYLEREF 1 \s </w:instrText>
      </w:r>
      <w:r w:rsidR="009A42BC">
        <w:fldChar w:fldCharType="separate"/>
      </w:r>
      <w:r w:rsidR="00D14571">
        <w:rPr>
          <w:noProof/>
        </w:rPr>
        <w:t>5</w:t>
      </w:r>
      <w:r w:rsidR="009A42BC">
        <w:rPr>
          <w:noProof/>
        </w:rPr>
        <w:fldChar w:fldCharType="end"/>
      </w:r>
      <w:r w:rsidR="00D14571">
        <w:noBreakHyphen/>
      </w:r>
      <w:r w:rsidR="009A42BC">
        <w:fldChar w:fldCharType="begin"/>
      </w:r>
      <w:r w:rsidR="009A42BC">
        <w:instrText xml:space="preserve"> SEQ Tabel \* ARABIC \s 1 </w:instrText>
      </w:r>
      <w:r w:rsidR="009A42BC">
        <w:fldChar w:fldCharType="separate"/>
      </w:r>
      <w:r w:rsidR="00D14571">
        <w:rPr>
          <w:noProof/>
        </w:rPr>
        <w:t>2</w:t>
      </w:r>
      <w:r w:rsidR="009A42BC">
        <w:rPr>
          <w:noProof/>
        </w:rPr>
        <w:fldChar w:fldCharType="end"/>
      </w:r>
      <w:bookmarkEnd w:id="19"/>
      <w:r>
        <w:t xml:space="preserve"> </w:t>
      </w:r>
      <w:r w:rsidR="00DB1FFD">
        <w:tab/>
      </w:r>
      <w:r>
        <w:t>Marginale afskrivninger for person- og varebiler (øre/km).</w:t>
      </w:r>
    </w:p>
    <w:tbl>
      <w:tblPr>
        <w:tblStyle w:val="GridTable5Dark-Accent3"/>
        <w:tblW w:w="7650" w:type="dxa"/>
        <w:tblLayout w:type="fixed"/>
        <w:tblLook w:val="04A0" w:firstRow="1" w:lastRow="0" w:firstColumn="1" w:lastColumn="0" w:noHBand="0" w:noVBand="1"/>
      </w:tblPr>
      <w:tblGrid>
        <w:gridCol w:w="700"/>
        <w:gridCol w:w="987"/>
        <w:gridCol w:w="1692"/>
        <w:gridCol w:w="1058"/>
        <w:gridCol w:w="1058"/>
        <w:gridCol w:w="1058"/>
        <w:gridCol w:w="1059"/>
        <w:gridCol w:w="38"/>
      </w:tblGrid>
      <w:tr w:rsidR="00D75C8D" w:rsidRPr="00EA25D5" w14:paraId="03A7F331" w14:textId="77777777" w:rsidTr="006D1A4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96" w:type="dxa"/>
            <w:gridSpan w:val="2"/>
            <w:noWrap/>
          </w:tcPr>
          <w:p w14:paraId="47D8A229" w14:textId="77777777" w:rsidR="00EA25D5" w:rsidRPr="00EA25D5" w:rsidRDefault="00EA25D5" w:rsidP="00B54714">
            <w:pPr>
              <w:pStyle w:val="BodyTextNoSpace"/>
              <w:keepNext/>
              <w:keepLines/>
            </w:pPr>
            <w:r w:rsidRPr="00EA25D5">
              <w:t>Segment</w:t>
            </w:r>
          </w:p>
        </w:tc>
        <w:tc>
          <w:tcPr>
            <w:tcW w:w="1701" w:type="dxa"/>
            <w:noWrap/>
            <w:hideMark/>
          </w:tcPr>
          <w:p w14:paraId="5CD1E971" w14:textId="77777777" w:rsidR="00EA25D5" w:rsidRPr="00EA25D5" w:rsidRDefault="00EA25D5" w:rsidP="00B54714">
            <w:pPr>
              <w:pStyle w:val="BodyTextNoSpace"/>
              <w:keepNext/>
              <w:keepLines/>
              <w:cnfStyle w:val="100000000000" w:firstRow="1" w:lastRow="0" w:firstColumn="0" w:lastColumn="0" w:oddVBand="0" w:evenVBand="0" w:oddHBand="0" w:evenHBand="0" w:firstRowFirstColumn="0" w:firstRowLastColumn="0" w:lastRowFirstColumn="0" w:lastRowLastColumn="0"/>
            </w:pPr>
            <w:r w:rsidRPr="00EA25D5">
              <w:t xml:space="preserve">Pris ekskl. </w:t>
            </w:r>
            <w:proofErr w:type="spellStart"/>
            <w:r w:rsidRPr="00EA25D5">
              <w:t>Afg</w:t>
            </w:r>
            <w:proofErr w:type="spellEnd"/>
          </w:p>
        </w:tc>
        <w:tc>
          <w:tcPr>
            <w:tcW w:w="1063" w:type="dxa"/>
            <w:noWrap/>
            <w:hideMark/>
          </w:tcPr>
          <w:p w14:paraId="7BF57920" w14:textId="06195BF5" w:rsidR="00EA25D5" w:rsidRPr="00EA25D5" w:rsidRDefault="00EA25D5" w:rsidP="00B54714">
            <w:pPr>
              <w:pStyle w:val="BodyTextNoSpace"/>
              <w:keepNext/>
              <w:keepLines/>
              <w:cnfStyle w:val="100000000000" w:firstRow="1" w:lastRow="0" w:firstColumn="0" w:lastColumn="0" w:oddVBand="0" w:evenVBand="0" w:oddHBand="0" w:evenHBand="0" w:firstRowFirstColumn="0" w:firstRowLastColumn="0" w:lastRowFirstColumn="0" w:lastRowLastColumn="0"/>
            </w:pPr>
            <w:r w:rsidRPr="00EA25D5">
              <w:t>12</w:t>
            </w:r>
            <w:r w:rsidR="00497264" w:rsidRPr="00497264">
              <w:t>-årig</w:t>
            </w:r>
          </w:p>
        </w:tc>
        <w:tc>
          <w:tcPr>
            <w:tcW w:w="1063" w:type="dxa"/>
            <w:noWrap/>
            <w:hideMark/>
          </w:tcPr>
          <w:p w14:paraId="1334C21B" w14:textId="0C97119B" w:rsidR="00EA25D5" w:rsidRPr="00EA25D5" w:rsidRDefault="00006D58" w:rsidP="00B54714">
            <w:pPr>
              <w:pStyle w:val="BodyTextNoSpace"/>
              <w:keepNext/>
              <w:keepLines/>
              <w:cnfStyle w:val="100000000000" w:firstRow="1" w:lastRow="0" w:firstColumn="0" w:lastColumn="0" w:oddVBand="0" w:evenVBand="0" w:oddHBand="0" w:evenHBand="0" w:firstRowFirstColumn="0" w:firstRowLastColumn="0" w:lastRowFirstColumn="0" w:lastRowLastColumn="0"/>
            </w:pPr>
            <w:r w:rsidRPr="00EA25D5">
              <w:t>8</w:t>
            </w:r>
            <w:r w:rsidR="00497264" w:rsidRPr="00497264">
              <w:t>-årig</w:t>
            </w:r>
          </w:p>
        </w:tc>
        <w:tc>
          <w:tcPr>
            <w:tcW w:w="1063" w:type="dxa"/>
            <w:noWrap/>
            <w:hideMark/>
          </w:tcPr>
          <w:p w14:paraId="6A07347D" w14:textId="56678E47" w:rsidR="00EA25D5" w:rsidRPr="00EA25D5" w:rsidRDefault="00006D58" w:rsidP="00B54714">
            <w:pPr>
              <w:pStyle w:val="BodyTextNoSpace"/>
              <w:keepNext/>
              <w:keepLines/>
              <w:cnfStyle w:val="100000000000" w:firstRow="1" w:lastRow="0" w:firstColumn="0" w:lastColumn="0" w:oddVBand="0" w:evenVBand="0" w:oddHBand="0" w:evenHBand="0" w:firstRowFirstColumn="0" w:firstRowLastColumn="0" w:lastRowFirstColumn="0" w:lastRowLastColumn="0"/>
            </w:pPr>
            <w:r w:rsidRPr="00EA25D5">
              <w:t>4</w:t>
            </w:r>
            <w:r w:rsidR="00497264" w:rsidRPr="00497264">
              <w:t>-årig</w:t>
            </w:r>
          </w:p>
        </w:tc>
        <w:tc>
          <w:tcPr>
            <w:tcW w:w="1064" w:type="dxa"/>
            <w:gridSpan w:val="2"/>
            <w:noWrap/>
            <w:hideMark/>
          </w:tcPr>
          <w:p w14:paraId="31757F78" w14:textId="72DBEE2B" w:rsidR="00EA25D5" w:rsidRPr="00EA25D5" w:rsidRDefault="00006D58" w:rsidP="00B54714">
            <w:pPr>
              <w:pStyle w:val="BodyTextNoSpace"/>
              <w:keepNext/>
              <w:keepLines/>
              <w:cnfStyle w:val="100000000000" w:firstRow="1" w:lastRow="0" w:firstColumn="0" w:lastColumn="0" w:oddVBand="0" w:evenVBand="0" w:oddHBand="0" w:evenHBand="0" w:firstRowFirstColumn="0" w:firstRowLastColumn="0" w:lastRowFirstColumn="0" w:lastRowLastColumn="0"/>
            </w:pPr>
            <w:r w:rsidRPr="00EA25D5">
              <w:t>0</w:t>
            </w:r>
            <w:r w:rsidR="00497264" w:rsidRPr="00497264">
              <w:t>-årig</w:t>
            </w:r>
          </w:p>
        </w:tc>
      </w:tr>
      <w:tr w:rsidR="00EA25D5" w:rsidRPr="00EA25D5" w14:paraId="1A7BD463" w14:textId="77777777" w:rsidTr="00257A30">
        <w:trPr>
          <w:gridAfter w:val="1"/>
          <w:cnfStyle w:val="000000100000" w:firstRow="0" w:lastRow="0" w:firstColumn="0" w:lastColumn="0" w:oddVBand="0" w:evenVBand="0" w:oddHBand="1" w:evenHBand="0" w:firstRowFirstColumn="0" w:firstRowLastColumn="0" w:lastRowFirstColumn="0" w:lastRowLastColumn="0"/>
          <w:wAfter w:w="38" w:type="dxa"/>
          <w:trHeight w:val="315"/>
        </w:trPr>
        <w:tc>
          <w:tcPr>
            <w:cnfStyle w:val="001000000000" w:firstRow="0" w:lastRow="0" w:firstColumn="1" w:lastColumn="0" w:oddVBand="0" w:evenVBand="0" w:oddHBand="0" w:evenHBand="0" w:firstRowFirstColumn="0" w:firstRowLastColumn="0" w:lastRowFirstColumn="0" w:lastRowLastColumn="0"/>
            <w:tcW w:w="704" w:type="dxa"/>
            <w:vMerge w:val="restart"/>
            <w:noWrap/>
            <w:textDirection w:val="tbRl"/>
            <w:hideMark/>
          </w:tcPr>
          <w:p w14:paraId="5D29550C" w14:textId="77777777" w:rsidR="00EA25D5" w:rsidRPr="00EA25D5" w:rsidRDefault="00EA25D5" w:rsidP="00B54714">
            <w:pPr>
              <w:pStyle w:val="BodyTextNoSpace"/>
              <w:keepNext/>
              <w:keepLines/>
            </w:pPr>
            <w:r w:rsidRPr="00EA25D5">
              <w:t>Benzin</w:t>
            </w:r>
          </w:p>
        </w:tc>
        <w:tc>
          <w:tcPr>
            <w:tcW w:w="992" w:type="dxa"/>
            <w:noWrap/>
            <w:hideMark/>
          </w:tcPr>
          <w:p w14:paraId="15B09AAF" w14:textId="77777777"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Mini</w:t>
            </w:r>
          </w:p>
        </w:tc>
        <w:tc>
          <w:tcPr>
            <w:tcW w:w="1701" w:type="dxa"/>
            <w:noWrap/>
            <w:hideMark/>
          </w:tcPr>
          <w:p w14:paraId="332ADF93" w14:textId="57A64914"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59</w:t>
            </w:r>
            <w:r w:rsidR="00976D6A">
              <w:t>.</w:t>
            </w:r>
            <w:r w:rsidRPr="00EA25D5">
              <w:t>000</w:t>
            </w:r>
          </w:p>
        </w:tc>
        <w:tc>
          <w:tcPr>
            <w:tcW w:w="1063" w:type="dxa"/>
            <w:noWrap/>
            <w:hideMark/>
          </w:tcPr>
          <w:p w14:paraId="0ECFE67E" w14:textId="31708324"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0,50</w:t>
            </w:r>
          </w:p>
        </w:tc>
        <w:tc>
          <w:tcPr>
            <w:tcW w:w="1063" w:type="dxa"/>
            <w:noWrap/>
            <w:hideMark/>
          </w:tcPr>
          <w:p w14:paraId="58CA2C50" w14:textId="73B5EA96"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1,78</w:t>
            </w:r>
          </w:p>
        </w:tc>
        <w:tc>
          <w:tcPr>
            <w:tcW w:w="1063" w:type="dxa"/>
            <w:noWrap/>
            <w:hideMark/>
          </w:tcPr>
          <w:p w14:paraId="5F12F046" w14:textId="650ACF2B"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4,52</w:t>
            </w:r>
          </w:p>
        </w:tc>
        <w:tc>
          <w:tcPr>
            <w:tcW w:w="1064" w:type="dxa"/>
            <w:noWrap/>
            <w:hideMark/>
          </w:tcPr>
          <w:p w14:paraId="749886E4" w14:textId="26D9A471"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7,58</w:t>
            </w:r>
          </w:p>
        </w:tc>
      </w:tr>
      <w:tr w:rsidR="00EA25D5" w:rsidRPr="00EA25D5" w14:paraId="6F522F8F" w14:textId="77777777" w:rsidTr="00257A30">
        <w:trPr>
          <w:gridAfter w:val="1"/>
          <w:wAfter w:w="38" w:type="dxa"/>
          <w:trHeight w:val="315"/>
        </w:trPr>
        <w:tc>
          <w:tcPr>
            <w:cnfStyle w:val="001000000000" w:firstRow="0" w:lastRow="0" w:firstColumn="1" w:lastColumn="0" w:oddVBand="0" w:evenVBand="0" w:oddHBand="0" w:evenHBand="0" w:firstRowFirstColumn="0" w:firstRowLastColumn="0" w:lastRowFirstColumn="0" w:lastRowLastColumn="0"/>
            <w:tcW w:w="704" w:type="dxa"/>
            <w:vMerge/>
            <w:textDirection w:val="tbRl"/>
            <w:hideMark/>
          </w:tcPr>
          <w:p w14:paraId="1B8FA1AC" w14:textId="77777777" w:rsidR="00EA25D5" w:rsidRPr="00EA25D5" w:rsidRDefault="00EA25D5" w:rsidP="00B54714">
            <w:pPr>
              <w:pStyle w:val="BodyTextNoSpace"/>
              <w:keepNext/>
              <w:keepLines/>
            </w:pPr>
          </w:p>
        </w:tc>
        <w:tc>
          <w:tcPr>
            <w:tcW w:w="992" w:type="dxa"/>
            <w:noWrap/>
            <w:hideMark/>
          </w:tcPr>
          <w:p w14:paraId="703A16CD" w14:textId="77777777"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Lille</w:t>
            </w:r>
          </w:p>
        </w:tc>
        <w:tc>
          <w:tcPr>
            <w:tcW w:w="1701" w:type="dxa"/>
            <w:noWrap/>
            <w:hideMark/>
          </w:tcPr>
          <w:p w14:paraId="7F89B612" w14:textId="625B9416"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81</w:t>
            </w:r>
            <w:r w:rsidR="00976D6A">
              <w:t>.</w:t>
            </w:r>
            <w:r w:rsidRPr="00EA25D5">
              <w:t>000</w:t>
            </w:r>
          </w:p>
        </w:tc>
        <w:tc>
          <w:tcPr>
            <w:tcW w:w="1063" w:type="dxa"/>
            <w:noWrap/>
            <w:hideMark/>
          </w:tcPr>
          <w:p w14:paraId="611ADDA1" w14:textId="6EC5C2F8"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1,01</w:t>
            </w:r>
          </w:p>
        </w:tc>
        <w:tc>
          <w:tcPr>
            <w:tcW w:w="1063" w:type="dxa"/>
            <w:noWrap/>
            <w:hideMark/>
          </w:tcPr>
          <w:p w14:paraId="5EB54486" w14:textId="149CCC4C"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3,18</w:t>
            </w:r>
          </w:p>
        </w:tc>
        <w:tc>
          <w:tcPr>
            <w:tcW w:w="1063" w:type="dxa"/>
            <w:noWrap/>
            <w:hideMark/>
          </w:tcPr>
          <w:p w14:paraId="6B12BD1E" w14:textId="61626C0B"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6,27</w:t>
            </w:r>
          </w:p>
        </w:tc>
        <w:tc>
          <w:tcPr>
            <w:tcW w:w="1064" w:type="dxa"/>
            <w:noWrap/>
            <w:hideMark/>
          </w:tcPr>
          <w:p w14:paraId="48EE0C14" w14:textId="66E0DB61"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10,16</w:t>
            </w:r>
          </w:p>
        </w:tc>
      </w:tr>
      <w:tr w:rsidR="00EA25D5" w:rsidRPr="00EA25D5" w14:paraId="7E15855D" w14:textId="77777777" w:rsidTr="00257A30">
        <w:trPr>
          <w:gridAfter w:val="1"/>
          <w:cnfStyle w:val="000000100000" w:firstRow="0" w:lastRow="0" w:firstColumn="0" w:lastColumn="0" w:oddVBand="0" w:evenVBand="0" w:oddHBand="1" w:evenHBand="0" w:firstRowFirstColumn="0" w:firstRowLastColumn="0" w:lastRowFirstColumn="0" w:lastRowLastColumn="0"/>
          <w:wAfter w:w="38" w:type="dxa"/>
          <w:trHeight w:val="315"/>
        </w:trPr>
        <w:tc>
          <w:tcPr>
            <w:cnfStyle w:val="001000000000" w:firstRow="0" w:lastRow="0" w:firstColumn="1" w:lastColumn="0" w:oddVBand="0" w:evenVBand="0" w:oddHBand="0" w:evenHBand="0" w:firstRowFirstColumn="0" w:firstRowLastColumn="0" w:lastRowFirstColumn="0" w:lastRowLastColumn="0"/>
            <w:tcW w:w="704" w:type="dxa"/>
            <w:vMerge/>
            <w:textDirection w:val="tbRl"/>
            <w:hideMark/>
          </w:tcPr>
          <w:p w14:paraId="3EF7680D" w14:textId="77777777" w:rsidR="00EA25D5" w:rsidRPr="00EA25D5" w:rsidRDefault="00EA25D5" w:rsidP="00B54714">
            <w:pPr>
              <w:pStyle w:val="BodyTextNoSpace"/>
              <w:keepNext/>
              <w:keepLines/>
            </w:pPr>
          </w:p>
        </w:tc>
        <w:tc>
          <w:tcPr>
            <w:tcW w:w="992" w:type="dxa"/>
            <w:noWrap/>
            <w:hideMark/>
          </w:tcPr>
          <w:p w14:paraId="345F922A" w14:textId="77777777"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Mellem</w:t>
            </w:r>
          </w:p>
        </w:tc>
        <w:tc>
          <w:tcPr>
            <w:tcW w:w="1701" w:type="dxa"/>
            <w:noWrap/>
            <w:hideMark/>
          </w:tcPr>
          <w:p w14:paraId="51772E1F" w14:textId="5F522851"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132</w:t>
            </w:r>
            <w:r w:rsidR="00976D6A">
              <w:t>.</w:t>
            </w:r>
            <w:r w:rsidRPr="00EA25D5">
              <w:t>000</w:t>
            </w:r>
          </w:p>
        </w:tc>
        <w:tc>
          <w:tcPr>
            <w:tcW w:w="1063" w:type="dxa"/>
            <w:noWrap/>
            <w:hideMark/>
          </w:tcPr>
          <w:p w14:paraId="6431456F" w14:textId="6C2F46C7"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1,42</w:t>
            </w:r>
          </w:p>
        </w:tc>
        <w:tc>
          <w:tcPr>
            <w:tcW w:w="1063" w:type="dxa"/>
            <w:noWrap/>
            <w:hideMark/>
          </w:tcPr>
          <w:p w14:paraId="51419BEC" w14:textId="0EEC6E9E"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4,79</w:t>
            </w:r>
          </w:p>
        </w:tc>
        <w:tc>
          <w:tcPr>
            <w:tcW w:w="1063" w:type="dxa"/>
            <w:noWrap/>
            <w:hideMark/>
          </w:tcPr>
          <w:p w14:paraId="5D079C73" w14:textId="045B6918"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11,96</w:t>
            </w:r>
          </w:p>
        </w:tc>
        <w:tc>
          <w:tcPr>
            <w:tcW w:w="1064" w:type="dxa"/>
            <w:noWrap/>
            <w:hideMark/>
          </w:tcPr>
          <w:p w14:paraId="0809E151" w14:textId="619E2F1F"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16,12</w:t>
            </w:r>
          </w:p>
        </w:tc>
      </w:tr>
      <w:tr w:rsidR="00EA25D5" w:rsidRPr="00EA25D5" w14:paraId="5C508BEC" w14:textId="77777777" w:rsidTr="00257A30">
        <w:trPr>
          <w:gridAfter w:val="1"/>
          <w:wAfter w:w="38" w:type="dxa"/>
          <w:trHeight w:val="315"/>
        </w:trPr>
        <w:tc>
          <w:tcPr>
            <w:cnfStyle w:val="001000000000" w:firstRow="0" w:lastRow="0" w:firstColumn="1" w:lastColumn="0" w:oddVBand="0" w:evenVBand="0" w:oddHBand="0" w:evenHBand="0" w:firstRowFirstColumn="0" w:firstRowLastColumn="0" w:lastRowFirstColumn="0" w:lastRowLastColumn="0"/>
            <w:tcW w:w="704" w:type="dxa"/>
            <w:vMerge/>
            <w:textDirection w:val="tbRl"/>
            <w:hideMark/>
          </w:tcPr>
          <w:p w14:paraId="1AAA2FAE" w14:textId="77777777" w:rsidR="00EA25D5" w:rsidRPr="00EA25D5" w:rsidRDefault="00EA25D5" w:rsidP="00B54714">
            <w:pPr>
              <w:pStyle w:val="BodyTextNoSpace"/>
              <w:keepNext/>
              <w:keepLines/>
            </w:pPr>
          </w:p>
        </w:tc>
        <w:tc>
          <w:tcPr>
            <w:tcW w:w="992" w:type="dxa"/>
            <w:noWrap/>
            <w:hideMark/>
          </w:tcPr>
          <w:p w14:paraId="0DF3F976" w14:textId="77777777"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Stor</w:t>
            </w:r>
          </w:p>
        </w:tc>
        <w:tc>
          <w:tcPr>
            <w:tcW w:w="1701" w:type="dxa"/>
            <w:noWrap/>
            <w:hideMark/>
          </w:tcPr>
          <w:p w14:paraId="63B5CFC6" w14:textId="726DA48B"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192</w:t>
            </w:r>
            <w:r w:rsidR="00976D6A">
              <w:t>.</w:t>
            </w:r>
            <w:r w:rsidRPr="00EA25D5">
              <w:t>000</w:t>
            </w:r>
          </w:p>
        </w:tc>
        <w:tc>
          <w:tcPr>
            <w:tcW w:w="1063" w:type="dxa"/>
            <w:noWrap/>
            <w:hideMark/>
          </w:tcPr>
          <w:p w14:paraId="50F0C9B4" w14:textId="4A37346C"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3,38</w:t>
            </w:r>
          </w:p>
        </w:tc>
        <w:tc>
          <w:tcPr>
            <w:tcW w:w="1063" w:type="dxa"/>
            <w:noWrap/>
            <w:hideMark/>
          </w:tcPr>
          <w:p w14:paraId="4076D203" w14:textId="2FD66EB8"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5,60</w:t>
            </w:r>
          </w:p>
        </w:tc>
        <w:tc>
          <w:tcPr>
            <w:tcW w:w="1063" w:type="dxa"/>
            <w:noWrap/>
            <w:hideMark/>
          </w:tcPr>
          <w:p w14:paraId="29638BD7" w14:textId="2B58654A"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17,53</w:t>
            </w:r>
          </w:p>
        </w:tc>
        <w:tc>
          <w:tcPr>
            <w:tcW w:w="1064" w:type="dxa"/>
            <w:noWrap/>
            <w:hideMark/>
          </w:tcPr>
          <w:p w14:paraId="6AF88D45" w14:textId="28428C97"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21,09</w:t>
            </w:r>
          </w:p>
        </w:tc>
      </w:tr>
      <w:tr w:rsidR="00EA25D5" w:rsidRPr="00EA25D5" w14:paraId="3F70548B" w14:textId="77777777" w:rsidTr="00257A30">
        <w:trPr>
          <w:gridAfter w:val="1"/>
          <w:cnfStyle w:val="000000100000" w:firstRow="0" w:lastRow="0" w:firstColumn="0" w:lastColumn="0" w:oddVBand="0" w:evenVBand="0" w:oddHBand="1" w:evenHBand="0" w:firstRowFirstColumn="0" w:firstRowLastColumn="0" w:lastRowFirstColumn="0" w:lastRowLastColumn="0"/>
          <w:wAfter w:w="38" w:type="dxa"/>
          <w:trHeight w:val="315"/>
        </w:trPr>
        <w:tc>
          <w:tcPr>
            <w:cnfStyle w:val="001000000000" w:firstRow="0" w:lastRow="0" w:firstColumn="1" w:lastColumn="0" w:oddVBand="0" w:evenVBand="0" w:oddHBand="0" w:evenHBand="0" w:firstRowFirstColumn="0" w:firstRowLastColumn="0" w:lastRowFirstColumn="0" w:lastRowLastColumn="0"/>
            <w:tcW w:w="704" w:type="dxa"/>
            <w:vMerge w:val="restart"/>
            <w:noWrap/>
            <w:textDirection w:val="tbRl"/>
            <w:hideMark/>
          </w:tcPr>
          <w:p w14:paraId="1914C051" w14:textId="77777777" w:rsidR="00EA25D5" w:rsidRPr="00EA25D5" w:rsidRDefault="00EA25D5" w:rsidP="00B54714">
            <w:pPr>
              <w:pStyle w:val="BodyTextNoSpace"/>
              <w:keepNext/>
              <w:keepLines/>
            </w:pPr>
            <w:r w:rsidRPr="00EA25D5">
              <w:t>Diesel</w:t>
            </w:r>
          </w:p>
        </w:tc>
        <w:tc>
          <w:tcPr>
            <w:tcW w:w="992" w:type="dxa"/>
            <w:noWrap/>
            <w:hideMark/>
          </w:tcPr>
          <w:p w14:paraId="4C22A643" w14:textId="77777777"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Lille</w:t>
            </w:r>
          </w:p>
        </w:tc>
        <w:tc>
          <w:tcPr>
            <w:tcW w:w="1701" w:type="dxa"/>
            <w:noWrap/>
            <w:hideMark/>
          </w:tcPr>
          <w:p w14:paraId="68513313" w14:textId="0BE11CCD"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94</w:t>
            </w:r>
            <w:r w:rsidR="00976D6A">
              <w:t>.</w:t>
            </w:r>
            <w:r w:rsidRPr="00EA25D5">
              <w:t>000</w:t>
            </w:r>
          </w:p>
        </w:tc>
        <w:tc>
          <w:tcPr>
            <w:tcW w:w="1063" w:type="dxa"/>
            <w:noWrap/>
            <w:hideMark/>
          </w:tcPr>
          <w:p w14:paraId="0E215ED6" w14:textId="55F23EB5"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2,47</w:t>
            </w:r>
          </w:p>
        </w:tc>
        <w:tc>
          <w:tcPr>
            <w:tcW w:w="1063" w:type="dxa"/>
            <w:noWrap/>
            <w:hideMark/>
          </w:tcPr>
          <w:p w14:paraId="313FDFAE" w14:textId="145E6AC0"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4,60</w:t>
            </w:r>
          </w:p>
        </w:tc>
        <w:tc>
          <w:tcPr>
            <w:tcW w:w="1063" w:type="dxa"/>
            <w:noWrap/>
            <w:hideMark/>
          </w:tcPr>
          <w:p w14:paraId="7A74E8EE" w14:textId="56D0A281"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10,25</w:t>
            </w:r>
          </w:p>
        </w:tc>
        <w:tc>
          <w:tcPr>
            <w:tcW w:w="1064" w:type="dxa"/>
            <w:noWrap/>
            <w:hideMark/>
          </w:tcPr>
          <w:p w14:paraId="7218E0AD" w14:textId="497FDD3B"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15,38</w:t>
            </w:r>
          </w:p>
        </w:tc>
      </w:tr>
      <w:tr w:rsidR="00EA25D5" w:rsidRPr="00EA25D5" w14:paraId="408CA24E" w14:textId="77777777" w:rsidTr="00257A30">
        <w:trPr>
          <w:gridAfter w:val="1"/>
          <w:wAfter w:w="38" w:type="dxa"/>
          <w:trHeight w:val="315"/>
        </w:trPr>
        <w:tc>
          <w:tcPr>
            <w:cnfStyle w:val="001000000000" w:firstRow="0" w:lastRow="0" w:firstColumn="1" w:lastColumn="0" w:oddVBand="0" w:evenVBand="0" w:oddHBand="0" w:evenHBand="0" w:firstRowFirstColumn="0" w:firstRowLastColumn="0" w:lastRowFirstColumn="0" w:lastRowLastColumn="0"/>
            <w:tcW w:w="704" w:type="dxa"/>
            <w:vMerge/>
            <w:hideMark/>
          </w:tcPr>
          <w:p w14:paraId="53683089" w14:textId="77777777" w:rsidR="00EA25D5" w:rsidRPr="00EA25D5" w:rsidRDefault="00EA25D5" w:rsidP="00B54714">
            <w:pPr>
              <w:pStyle w:val="BodyTextNoSpace"/>
              <w:keepNext/>
              <w:keepLines/>
            </w:pPr>
          </w:p>
        </w:tc>
        <w:tc>
          <w:tcPr>
            <w:tcW w:w="992" w:type="dxa"/>
            <w:noWrap/>
            <w:hideMark/>
          </w:tcPr>
          <w:p w14:paraId="5F1AE204" w14:textId="77777777"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Mellem</w:t>
            </w:r>
          </w:p>
        </w:tc>
        <w:tc>
          <w:tcPr>
            <w:tcW w:w="1701" w:type="dxa"/>
            <w:noWrap/>
            <w:hideMark/>
          </w:tcPr>
          <w:p w14:paraId="255DA306" w14:textId="49866808"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166</w:t>
            </w:r>
            <w:r w:rsidR="00976D6A">
              <w:t>.</w:t>
            </w:r>
            <w:r w:rsidRPr="00EA25D5">
              <w:t>000</w:t>
            </w:r>
          </w:p>
        </w:tc>
        <w:tc>
          <w:tcPr>
            <w:tcW w:w="1063" w:type="dxa"/>
            <w:noWrap/>
            <w:hideMark/>
          </w:tcPr>
          <w:p w14:paraId="1443E26B" w14:textId="1E023AFA"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2,73</w:t>
            </w:r>
          </w:p>
        </w:tc>
        <w:tc>
          <w:tcPr>
            <w:tcW w:w="1063" w:type="dxa"/>
            <w:noWrap/>
            <w:hideMark/>
          </w:tcPr>
          <w:p w14:paraId="0B51D00E" w14:textId="67CC57A5"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8,10</w:t>
            </w:r>
          </w:p>
        </w:tc>
        <w:tc>
          <w:tcPr>
            <w:tcW w:w="1063" w:type="dxa"/>
            <w:noWrap/>
            <w:hideMark/>
          </w:tcPr>
          <w:p w14:paraId="5CA770DE" w14:textId="6B3B2BAD"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19,46</w:t>
            </w:r>
          </w:p>
        </w:tc>
        <w:tc>
          <w:tcPr>
            <w:tcW w:w="1064" w:type="dxa"/>
            <w:noWrap/>
            <w:hideMark/>
          </w:tcPr>
          <w:p w14:paraId="1EA1CEF0" w14:textId="4F10DA87" w:rsidR="00EA25D5" w:rsidRPr="00EA25D5" w:rsidRDefault="00EA25D5" w:rsidP="00B54714">
            <w:pPr>
              <w:pStyle w:val="BodyTextNoSpace"/>
              <w:keepNext/>
              <w:keepLines/>
              <w:cnfStyle w:val="000000000000" w:firstRow="0" w:lastRow="0" w:firstColumn="0" w:lastColumn="0" w:oddVBand="0" w:evenVBand="0" w:oddHBand="0" w:evenHBand="0" w:firstRowFirstColumn="0" w:firstRowLastColumn="0" w:lastRowFirstColumn="0" w:lastRowLastColumn="0"/>
            </w:pPr>
            <w:r w:rsidRPr="00EA25D5">
              <w:t>29,33</w:t>
            </w:r>
          </w:p>
        </w:tc>
      </w:tr>
      <w:tr w:rsidR="00EA25D5" w:rsidRPr="00EA25D5" w14:paraId="366D87BF" w14:textId="77777777" w:rsidTr="00257A30">
        <w:trPr>
          <w:gridAfter w:val="1"/>
          <w:cnfStyle w:val="000000100000" w:firstRow="0" w:lastRow="0" w:firstColumn="0" w:lastColumn="0" w:oddVBand="0" w:evenVBand="0" w:oddHBand="1" w:evenHBand="0" w:firstRowFirstColumn="0" w:firstRowLastColumn="0" w:lastRowFirstColumn="0" w:lastRowLastColumn="0"/>
          <w:wAfter w:w="38" w:type="dxa"/>
          <w:trHeight w:val="315"/>
        </w:trPr>
        <w:tc>
          <w:tcPr>
            <w:cnfStyle w:val="001000000000" w:firstRow="0" w:lastRow="0" w:firstColumn="1" w:lastColumn="0" w:oddVBand="0" w:evenVBand="0" w:oddHBand="0" w:evenHBand="0" w:firstRowFirstColumn="0" w:firstRowLastColumn="0" w:lastRowFirstColumn="0" w:lastRowLastColumn="0"/>
            <w:tcW w:w="704" w:type="dxa"/>
            <w:vMerge/>
            <w:hideMark/>
          </w:tcPr>
          <w:p w14:paraId="6E3B715C" w14:textId="77777777" w:rsidR="00EA25D5" w:rsidRPr="00EA25D5" w:rsidRDefault="00EA25D5" w:rsidP="00B54714">
            <w:pPr>
              <w:pStyle w:val="BodyTextNoSpace"/>
              <w:keepNext/>
              <w:keepLines/>
            </w:pPr>
          </w:p>
        </w:tc>
        <w:tc>
          <w:tcPr>
            <w:tcW w:w="992" w:type="dxa"/>
            <w:noWrap/>
            <w:hideMark/>
          </w:tcPr>
          <w:p w14:paraId="7978CD41" w14:textId="77777777"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Stor</w:t>
            </w:r>
          </w:p>
        </w:tc>
        <w:tc>
          <w:tcPr>
            <w:tcW w:w="1701" w:type="dxa"/>
            <w:noWrap/>
            <w:hideMark/>
          </w:tcPr>
          <w:p w14:paraId="2A673A1D" w14:textId="06DA7498"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249</w:t>
            </w:r>
            <w:r w:rsidR="00976D6A">
              <w:t>.</w:t>
            </w:r>
            <w:r w:rsidRPr="00EA25D5">
              <w:t>000</w:t>
            </w:r>
          </w:p>
        </w:tc>
        <w:tc>
          <w:tcPr>
            <w:tcW w:w="1063" w:type="dxa"/>
            <w:noWrap/>
            <w:hideMark/>
          </w:tcPr>
          <w:p w14:paraId="552D3BFB" w14:textId="5E44B31A"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4,55</w:t>
            </w:r>
          </w:p>
        </w:tc>
        <w:tc>
          <w:tcPr>
            <w:tcW w:w="1063" w:type="dxa"/>
            <w:noWrap/>
            <w:hideMark/>
          </w:tcPr>
          <w:p w14:paraId="4362F708" w14:textId="10A38766"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13,52</w:t>
            </w:r>
          </w:p>
        </w:tc>
        <w:tc>
          <w:tcPr>
            <w:tcW w:w="1063" w:type="dxa"/>
            <w:noWrap/>
            <w:hideMark/>
          </w:tcPr>
          <w:p w14:paraId="46ABC87F" w14:textId="302B3EFF" w:rsidR="00EA25D5" w:rsidRPr="00EA25D5"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EA25D5">
              <w:t>26,07</w:t>
            </w:r>
          </w:p>
        </w:tc>
        <w:tc>
          <w:tcPr>
            <w:tcW w:w="1064" w:type="dxa"/>
            <w:noWrap/>
            <w:hideMark/>
          </w:tcPr>
          <w:p w14:paraId="47377AC4" w14:textId="28197D34" w:rsidR="00EA25D5" w:rsidRPr="00976D6A" w:rsidRDefault="00EA25D5" w:rsidP="00B54714">
            <w:pPr>
              <w:pStyle w:val="BodyTextNoSpace"/>
              <w:keepNext/>
              <w:keepLines/>
              <w:cnfStyle w:val="000000100000" w:firstRow="0" w:lastRow="0" w:firstColumn="0" w:lastColumn="0" w:oddVBand="0" w:evenVBand="0" w:oddHBand="1" w:evenHBand="0" w:firstRowFirstColumn="0" w:firstRowLastColumn="0" w:lastRowFirstColumn="0" w:lastRowLastColumn="0"/>
            </w:pPr>
            <w:r w:rsidRPr="00976D6A">
              <w:t>42,02</w:t>
            </w:r>
          </w:p>
        </w:tc>
      </w:tr>
    </w:tbl>
    <w:p w14:paraId="3B673209" w14:textId="77777777" w:rsidR="005445C5" w:rsidRDefault="005445C5" w:rsidP="00B54714">
      <w:pPr>
        <w:pStyle w:val="BodyText"/>
        <w:keepNext/>
        <w:keepLines/>
      </w:pPr>
    </w:p>
    <w:p w14:paraId="00F74DD4" w14:textId="1D0108B6" w:rsidR="005445C5" w:rsidRDefault="005445C5" w:rsidP="005445C5">
      <w:pPr>
        <w:pStyle w:val="BodyText"/>
      </w:pPr>
      <w:r>
        <w:t>For lastbilerne tager beregning af afskrivningen udgangspunkt i en regressionsanalyse, hvor kilometerstanden ind indgår som forklarende variabel. Resultaterne af regressionsanalyser er vi</w:t>
      </w:r>
      <w:r w:rsidRPr="006D1A42">
        <w:t xml:space="preserve">st i </w:t>
      </w:r>
      <w:r w:rsidRPr="006D1A42">
        <w:fldChar w:fldCharType="begin"/>
      </w:r>
      <w:r w:rsidRPr="006D1A42">
        <w:instrText xml:space="preserve"> REF _Ref447293612 \h  \* MERGEFORMAT </w:instrText>
      </w:r>
      <w:r w:rsidRPr="006D1A42">
        <w:fldChar w:fldCharType="separate"/>
      </w:r>
      <w:r w:rsidRPr="006D1A42">
        <w:t xml:space="preserve">Tabel </w:t>
      </w:r>
      <w:r w:rsidRPr="006D1A42">
        <w:rPr>
          <w:noProof/>
        </w:rPr>
        <w:t>5</w:t>
      </w:r>
      <w:r w:rsidRPr="006D1A42">
        <w:noBreakHyphen/>
      </w:r>
      <w:r w:rsidRPr="006D1A42">
        <w:rPr>
          <w:noProof/>
        </w:rPr>
        <w:t>3</w:t>
      </w:r>
      <w:r w:rsidRPr="006D1A42">
        <w:fldChar w:fldCharType="end"/>
      </w:r>
      <w:r>
        <w:t>.</w:t>
      </w:r>
    </w:p>
    <w:p w14:paraId="6CE56162" w14:textId="36C28354" w:rsidR="005445C5" w:rsidRPr="008D3B39" w:rsidRDefault="005445C5" w:rsidP="005445C5">
      <w:pPr>
        <w:pStyle w:val="Caption"/>
        <w:keepNext/>
      </w:pPr>
      <w:bookmarkStart w:id="20" w:name="_Ref447293612"/>
      <w:r w:rsidRPr="008D3B39">
        <w:t xml:space="preserve">Tabel </w:t>
      </w:r>
      <w:r w:rsidR="009A42BC">
        <w:fldChar w:fldCharType="begin"/>
      </w:r>
      <w:r w:rsidR="009A42BC">
        <w:instrText xml:space="preserve"> STYLEREF 1 \s </w:instrText>
      </w:r>
      <w:r w:rsidR="009A42BC">
        <w:fldChar w:fldCharType="separate"/>
      </w:r>
      <w:r w:rsidR="00D14571" w:rsidRPr="008D3B39">
        <w:rPr>
          <w:noProof/>
        </w:rPr>
        <w:t>5</w:t>
      </w:r>
      <w:r w:rsidR="009A42BC">
        <w:rPr>
          <w:noProof/>
        </w:rPr>
        <w:fldChar w:fldCharType="end"/>
      </w:r>
      <w:r w:rsidR="00D14571" w:rsidRPr="008D3B39">
        <w:noBreakHyphen/>
      </w:r>
      <w:r w:rsidR="009A42BC">
        <w:fldChar w:fldCharType="begin"/>
      </w:r>
      <w:r w:rsidR="009A42BC">
        <w:instrText xml:space="preserve"> SEQ Tabel \* ARABIC \s 1 </w:instrText>
      </w:r>
      <w:r w:rsidR="009A42BC">
        <w:fldChar w:fldCharType="separate"/>
      </w:r>
      <w:r w:rsidR="00D14571" w:rsidRPr="008D3B39">
        <w:rPr>
          <w:noProof/>
        </w:rPr>
        <w:t>3</w:t>
      </w:r>
      <w:r w:rsidR="009A42BC">
        <w:rPr>
          <w:noProof/>
        </w:rPr>
        <w:fldChar w:fldCharType="end"/>
      </w:r>
      <w:bookmarkEnd w:id="20"/>
      <w:r w:rsidRPr="008D3B39">
        <w:t xml:space="preserve"> </w:t>
      </w:r>
      <w:r w:rsidR="00DB1FFD">
        <w:tab/>
      </w:r>
      <w:r w:rsidRPr="008D3B39">
        <w:t>Regressionsanalyse af lastbilpriser for brugte lastbiler</w:t>
      </w:r>
    </w:p>
    <w:p w14:paraId="36D5D4D4" w14:textId="77777777" w:rsidR="005445C5" w:rsidRPr="008D3B39" w:rsidRDefault="005445C5" w:rsidP="005445C5">
      <w:pPr>
        <w:pStyle w:val="BodyText"/>
        <w:spacing w:after="120"/>
      </w:pPr>
      <w:r w:rsidRPr="008D3B39">
        <w:rPr>
          <w:noProof/>
        </w:rPr>
        <w:drawing>
          <wp:inline distT="0" distB="0" distL="0" distR="0" wp14:anchorId="2F50137A" wp14:editId="2E07F4A1">
            <wp:extent cx="4429125" cy="2790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29125" cy="2790825"/>
                    </a:xfrm>
                    <a:prstGeom prst="rect">
                      <a:avLst/>
                    </a:prstGeom>
                  </pic:spPr>
                </pic:pic>
              </a:graphicData>
            </a:graphic>
          </wp:inline>
        </w:drawing>
      </w:r>
    </w:p>
    <w:p w14:paraId="445295F8" w14:textId="77777777" w:rsidR="005445C5" w:rsidRPr="00A741A3" w:rsidRDefault="005445C5" w:rsidP="00973E96">
      <w:pPr>
        <w:pStyle w:val="Caption"/>
        <w:rPr>
          <w:szCs w:val="18"/>
        </w:rPr>
      </w:pPr>
      <w:r w:rsidRPr="008D3B39">
        <w:rPr>
          <w:szCs w:val="18"/>
        </w:rPr>
        <w:t>Note: Lastbilpriserne omfatter priser på 2790 brugte lastbiler fra hele Europa indsamlet fra hjemmesiden "http://www.mascus.dk"</w:t>
      </w:r>
    </w:p>
    <w:p w14:paraId="41729023" w14:textId="3C9986DF" w:rsidR="005445C5" w:rsidRPr="008D3B39" w:rsidRDefault="005445C5" w:rsidP="005445C5">
      <w:pPr>
        <w:pStyle w:val="BodyText"/>
      </w:pPr>
      <w:r w:rsidRPr="008D3B39">
        <w:t>Som det fremgår</w:t>
      </w:r>
      <w:r w:rsidR="00D60BFA" w:rsidRPr="008D3B39">
        <w:t>,</w:t>
      </w:r>
      <w:r w:rsidRPr="008D3B39">
        <w:t xml:space="preserve"> er der pænt signifikante værdier for alle værdierne undtaget kilometerstand for lastbiler fra 2015. Den manglende signifikans i 2015 skyldes, at der er for få brugte lastbiler fra 2015. </w:t>
      </w:r>
    </w:p>
    <w:p w14:paraId="4BB80003" w14:textId="6310584B" w:rsidR="005445C5" w:rsidRPr="008D3B39" w:rsidRDefault="005445C5" w:rsidP="005445C5">
      <w:pPr>
        <w:pStyle w:val="BodyText"/>
      </w:pPr>
      <w:r w:rsidRPr="008D3B39">
        <w:t>For en gennemsnitlig lastbil fra 2003 er den marginale afskrivning ca. 9 øre per kilometer. Afskrivningen er jævnt stigende fra nyere lastbiler. For lastbiler fra 2015 er det antaget, at den stigende trend fortsætter med samme trend som for perioden 2003 – 2011.</w:t>
      </w:r>
    </w:p>
    <w:p w14:paraId="43FA785E" w14:textId="04984A74" w:rsidR="005445C5" w:rsidRPr="008D3B39" w:rsidRDefault="005445C5" w:rsidP="00B54714">
      <w:pPr>
        <w:pStyle w:val="Caption"/>
        <w:keepNext/>
        <w:keepLines/>
      </w:pPr>
      <w:r w:rsidRPr="008D3B39">
        <w:lastRenderedPageBreak/>
        <w:t xml:space="preserve">Figur </w:t>
      </w:r>
      <w:r w:rsidR="009A42BC">
        <w:fldChar w:fldCharType="begin"/>
      </w:r>
      <w:r w:rsidR="009A42BC">
        <w:instrText xml:space="preserve"> STYLEREF 1 \s </w:instrText>
      </w:r>
      <w:r w:rsidR="009A42BC">
        <w:fldChar w:fldCharType="separate"/>
      </w:r>
      <w:r w:rsidRPr="008D3B39">
        <w:rPr>
          <w:noProof/>
        </w:rPr>
        <w:t>5</w:t>
      </w:r>
      <w:r w:rsidR="009A42BC">
        <w:rPr>
          <w:noProof/>
        </w:rPr>
        <w:fldChar w:fldCharType="end"/>
      </w:r>
      <w:r w:rsidRPr="008D3B39">
        <w:noBreakHyphen/>
      </w:r>
      <w:r w:rsidR="009A42BC">
        <w:fldChar w:fldCharType="begin"/>
      </w:r>
      <w:r w:rsidR="009A42BC">
        <w:instrText xml:space="preserve"> SEQ Figur \* ARABIC \s 1 </w:instrText>
      </w:r>
      <w:r w:rsidR="009A42BC">
        <w:fldChar w:fldCharType="separate"/>
      </w:r>
      <w:r w:rsidRPr="008D3B39">
        <w:rPr>
          <w:noProof/>
        </w:rPr>
        <w:t>1</w:t>
      </w:r>
      <w:r w:rsidR="009A42BC">
        <w:rPr>
          <w:noProof/>
        </w:rPr>
        <w:fldChar w:fldCharType="end"/>
      </w:r>
      <w:r w:rsidRPr="008D3B39">
        <w:t xml:space="preserve"> </w:t>
      </w:r>
      <w:r w:rsidR="00DB1FFD">
        <w:tab/>
      </w:r>
      <w:r w:rsidRPr="008D3B39">
        <w:t>Beregnet afskrivning for gennemsnitlig lastbil fordelt på årgang</w:t>
      </w:r>
      <w:r w:rsidR="00D60BFA" w:rsidRPr="008D3B39">
        <w:t>.</w:t>
      </w:r>
      <w:r w:rsidR="00D60BFA" w:rsidRPr="008D3B39">
        <w:rPr>
          <w:rStyle w:val="FootnoteReference"/>
        </w:rPr>
        <w:footnoteReference w:id="14"/>
      </w:r>
    </w:p>
    <w:p w14:paraId="7AE87866" w14:textId="77777777" w:rsidR="005445C5" w:rsidRPr="008D3B39" w:rsidRDefault="005445C5" w:rsidP="00B54714">
      <w:pPr>
        <w:pStyle w:val="BodyText"/>
        <w:keepNext/>
        <w:keepLines/>
      </w:pPr>
      <w:r w:rsidRPr="008D3B39">
        <w:rPr>
          <w:noProof/>
        </w:rPr>
        <w:drawing>
          <wp:inline distT="0" distB="0" distL="0" distR="0" wp14:anchorId="404747ED" wp14:editId="099F2A37">
            <wp:extent cx="4679950" cy="269098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9950" cy="2690987"/>
                    </a:xfrm>
                    <a:prstGeom prst="rect">
                      <a:avLst/>
                    </a:prstGeom>
                    <a:noFill/>
                    <a:ln>
                      <a:noFill/>
                    </a:ln>
                  </pic:spPr>
                </pic:pic>
              </a:graphicData>
            </a:graphic>
          </wp:inline>
        </w:drawing>
      </w:r>
    </w:p>
    <w:p w14:paraId="435FE17B" w14:textId="100DD967" w:rsidR="005445C5" w:rsidRPr="008D3B39" w:rsidRDefault="005445C5" w:rsidP="005445C5">
      <w:pPr>
        <w:pStyle w:val="BodyText"/>
      </w:pPr>
      <w:r w:rsidRPr="008D3B39">
        <w:t>De ovenfor beregnede afskrivninger er beregnet for en gennemsnitlig lastbil. Den marginal afskrivning for de 5 lastbiltyper, der anvendes i enhedspriserne, er herefter beregnet proportionalt til prisen på de fem typer af lastbiler.</w:t>
      </w:r>
    </w:p>
    <w:p w14:paraId="7E5A09DF" w14:textId="03D50A31" w:rsidR="00D60BFA" w:rsidRPr="008D3B39" w:rsidRDefault="00D60BFA" w:rsidP="005445C5">
      <w:pPr>
        <w:pStyle w:val="BodyText"/>
      </w:pPr>
      <w:r w:rsidRPr="008D3B39">
        <w:t xml:space="preserve">Der er ikke lavet opdatering af lastbilpriserne til denne opdatering. Der er i forskellige andre analyser som COWI har deltaget i gennem 2021 været indhentet informationer om lastbilpriserne. Disse har ikke indikeret, at der er sket ændringer i lastbilpriserne. I </w:t>
      </w:r>
      <w:r w:rsidRPr="008D3B39">
        <w:fldChar w:fldCharType="begin"/>
      </w:r>
      <w:r w:rsidRPr="008D3B39">
        <w:instrText xml:space="preserve"> REF _Ref88570663 \h </w:instrText>
      </w:r>
      <w:r w:rsidR="008D3B39">
        <w:instrText xml:space="preserve"> \* MERGEFORMAT </w:instrText>
      </w:r>
      <w:r w:rsidRPr="008D3B39">
        <w:fldChar w:fldCharType="separate"/>
      </w:r>
      <w:r w:rsidR="00DB1FFD" w:rsidRPr="008D3B39">
        <w:t xml:space="preserve">Tabel </w:t>
      </w:r>
      <w:r w:rsidR="00DB1FFD">
        <w:rPr>
          <w:noProof/>
        </w:rPr>
        <w:t>5</w:t>
      </w:r>
      <w:r w:rsidR="00DB1FFD" w:rsidRPr="008D3B39">
        <w:rPr>
          <w:noProof/>
        </w:rPr>
        <w:noBreakHyphen/>
      </w:r>
      <w:r w:rsidR="00DB1FFD">
        <w:rPr>
          <w:noProof/>
        </w:rPr>
        <w:t>4</w:t>
      </w:r>
      <w:r w:rsidRPr="008D3B39">
        <w:fldChar w:fldCharType="end"/>
      </w:r>
      <w:r w:rsidRPr="008D3B39">
        <w:t xml:space="preserve"> vises </w:t>
      </w:r>
      <w:proofErr w:type="spellStart"/>
      <w:r w:rsidRPr="008D3B39">
        <w:t>nybilpriserne</w:t>
      </w:r>
      <w:proofErr w:type="spellEnd"/>
      <w:r w:rsidRPr="008D3B39">
        <w:t xml:space="preserve"> som de blev vurderet i 201</w:t>
      </w:r>
      <w:r w:rsidR="008D3B39">
        <w:t>6</w:t>
      </w:r>
      <w:r w:rsidRPr="008D3B39">
        <w:t xml:space="preserve"> opdateringen. </w:t>
      </w:r>
    </w:p>
    <w:p w14:paraId="505A1269" w14:textId="555B8D57" w:rsidR="005445C5" w:rsidRPr="008D3B39" w:rsidRDefault="005445C5" w:rsidP="005445C5">
      <w:pPr>
        <w:pStyle w:val="Caption"/>
      </w:pPr>
    </w:p>
    <w:p w14:paraId="33AA3B80" w14:textId="24093524" w:rsidR="00D60BFA" w:rsidRPr="008D3B39" w:rsidRDefault="00D60BFA" w:rsidP="00973E96">
      <w:pPr>
        <w:pStyle w:val="Caption"/>
        <w:keepNext/>
      </w:pPr>
      <w:bookmarkStart w:id="21" w:name="_Ref88570663"/>
      <w:r w:rsidRPr="008D3B39">
        <w:t xml:space="preserve">Tabel </w:t>
      </w:r>
      <w:fldSimple w:instr=" STYLEREF 1 \s ">
        <w:r w:rsidR="00DB1FFD">
          <w:rPr>
            <w:noProof/>
          </w:rPr>
          <w:t>5</w:t>
        </w:r>
      </w:fldSimple>
      <w:r w:rsidR="00D14571" w:rsidRPr="008D3B39">
        <w:noBreakHyphen/>
      </w:r>
      <w:fldSimple w:instr=" SEQ Tabel \* ARABIC \s 1 ">
        <w:r w:rsidR="00DB1FFD">
          <w:rPr>
            <w:noProof/>
          </w:rPr>
          <w:t>4</w:t>
        </w:r>
      </w:fldSimple>
      <w:bookmarkEnd w:id="21"/>
      <w:r w:rsidRPr="008D3B39">
        <w:tab/>
        <w:t>Nypriser på de 5 lastbiltyper</w:t>
      </w:r>
    </w:p>
    <w:tbl>
      <w:tblPr>
        <w:tblStyle w:val="GridTable5Dark-Accent31"/>
        <w:tblW w:w="0" w:type="auto"/>
        <w:tblLook w:val="04A0" w:firstRow="1" w:lastRow="0" w:firstColumn="1" w:lastColumn="0" w:noHBand="0" w:noVBand="1"/>
      </w:tblPr>
      <w:tblGrid>
        <w:gridCol w:w="4431"/>
        <w:gridCol w:w="2929"/>
      </w:tblGrid>
      <w:tr w:rsidR="005445C5" w:rsidRPr="008D3B39" w14:paraId="48F7EA18" w14:textId="77777777" w:rsidTr="00973E96">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31" w:type="dxa"/>
            <w:noWrap/>
            <w:hideMark/>
          </w:tcPr>
          <w:p w14:paraId="2A81211C" w14:textId="77777777" w:rsidR="005445C5" w:rsidRPr="008D3B39" w:rsidRDefault="005445C5" w:rsidP="001C2533">
            <w:pPr>
              <w:pStyle w:val="BodyTextNoSpace"/>
            </w:pPr>
          </w:p>
        </w:tc>
        <w:tc>
          <w:tcPr>
            <w:tcW w:w="2929" w:type="dxa"/>
            <w:noWrap/>
            <w:hideMark/>
          </w:tcPr>
          <w:p w14:paraId="36DFF648" w14:textId="77777777" w:rsidR="005445C5" w:rsidRPr="008D3B39" w:rsidRDefault="005445C5" w:rsidP="001C2533">
            <w:pPr>
              <w:pStyle w:val="BodyTextNoSpace"/>
              <w:jc w:val="center"/>
              <w:cnfStyle w:val="100000000000" w:firstRow="1" w:lastRow="0" w:firstColumn="0" w:lastColumn="0" w:oddVBand="0" w:evenVBand="0" w:oddHBand="0" w:evenHBand="0" w:firstRowFirstColumn="0" w:firstRowLastColumn="0" w:lastRowFirstColumn="0" w:lastRowLastColumn="0"/>
            </w:pPr>
            <w:r w:rsidRPr="008D3B39">
              <w:t>Pris ex moms</w:t>
            </w:r>
          </w:p>
        </w:tc>
      </w:tr>
      <w:tr w:rsidR="005445C5" w:rsidRPr="008D3B39" w14:paraId="01A98CE7" w14:textId="77777777" w:rsidTr="00973E96">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31" w:type="dxa"/>
            <w:noWrap/>
            <w:hideMark/>
          </w:tcPr>
          <w:p w14:paraId="69DC6E90" w14:textId="77777777" w:rsidR="005445C5" w:rsidRPr="008D3B39" w:rsidRDefault="005445C5" w:rsidP="001C2533">
            <w:pPr>
              <w:pStyle w:val="BodyTextNoSpace"/>
            </w:pPr>
            <w:r w:rsidRPr="008D3B39">
              <w:t>Lille sololastbil</w:t>
            </w:r>
          </w:p>
        </w:tc>
        <w:tc>
          <w:tcPr>
            <w:tcW w:w="2929" w:type="dxa"/>
            <w:noWrap/>
            <w:hideMark/>
          </w:tcPr>
          <w:p w14:paraId="488A6DF8" w14:textId="77777777" w:rsidR="005445C5" w:rsidRPr="008D3B39" w:rsidRDefault="005445C5" w:rsidP="001C2533">
            <w:pPr>
              <w:pStyle w:val="BodyTextNoSpace"/>
              <w:jc w:val="center"/>
              <w:cnfStyle w:val="000000100000" w:firstRow="0" w:lastRow="0" w:firstColumn="0" w:lastColumn="0" w:oddVBand="0" w:evenVBand="0" w:oddHBand="1" w:evenHBand="0" w:firstRowFirstColumn="0" w:firstRowLastColumn="0" w:lastRowFirstColumn="0" w:lastRowLastColumn="0"/>
            </w:pPr>
            <w:r w:rsidRPr="008D3B39">
              <w:t xml:space="preserve"> 550.000</w:t>
            </w:r>
          </w:p>
        </w:tc>
      </w:tr>
      <w:tr w:rsidR="005445C5" w:rsidRPr="008D3B39" w14:paraId="2C4A0457" w14:textId="77777777" w:rsidTr="00973E96">
        <w:trPr>
          <w:trHeight w:hRule="exact" w:val="397"/>
        </w:trPr>
        <w:tc>
          <w:tcPr>
            <w:cnfStyle w:val="001000000000" w:firstRow="0" w:lastRow="0" w:firstColumn="1" w:lastColumn="0" w:oddVBand="0" w:evenVBand="0" w:oddHBand="0" w:evenHBand="0" w:firstRowFirstColumn="0" w:firstRowLastColumn="0" w:lastRowFirstColumn="0" w:lastRowLastColumn="0"/>
            <w:tcW w:w="4431" w:type="dxa"/>
            <w:noWrap/>
            <w:hideMark/>
          </w:tcPr>
          <w:p w14:paraId="608F2A2C" w14:textId="77777777" w:rsidR="005445C5" w:rsidRPr="008D3B39" w:rsidRDefault="005445C5" w:rsidP="001C2533">
            <w:pPr>
              <w:pStyle w:val="BodyTextNoSpace"/>
            </w:pPr>
            <w:r w:rsidRPr="008D3B39">
              <w:t>Stor sololastbil</w:t>
            </w:r>
          </w:p>
        </w:tc>
        <w:tc>
          <w:tcPr>
            <w:tcW w:w="2929" w:type="dxa"/>
            <w:noWrap/>
            <w:hideMark/>
          </w:tcPr>
          <w:p w14:paraId="6F51B2EC" w14:textId="77777777" w:rsidR="005445C5" w:rsidRPr="008D3B39" w:rsidRDefault="005445C5" w:rsidP="001C2533">
            <w:pPr>
              <w:pStyle w:val="BodyTextNoSpace"/>
              <w:jc w:val="center"/>
              <w:cnfStyle w:val="000000000000" w:firstRow="0" w:lastRow="0" w:firstColumn="0" w:lastColumn="0" w:oddVBand="0" w:evenVBand="0" w:oddHBand="0" w:evenHBand="0" w:firstRowFirstColumn="0" w:firstRowLastColumn="0" w:lastRowFirstColumn="0" w:lastRowLastColumn="0"/>
            </w:pPr>
            <w:r w:rsidRPr="008D3B39">
              <w:t>1.313.500</w:t>
            </w:r>
          </w:p>
        </w:tc>
      </w:tr>
      <w:tr w:rsidR="005445C5" w:rsidRPr="008D3B39" w14:paraId="249A4373" w14:textId="77777777" w:rsidTr="00973E96">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31" w:type="dxa"/>
            <w:noWrap/>
            <w:hideMark/>
          </w:tcPr>
          <w:p w14:paraId="2E955A25" w14:textId="77777777" w:rsidR="005445C5" w:rsidRPr="008D3B39" w:rsidRDefault="005445C5" w:rsidP="001C2533">
            <w:pPr>
              <w:pStyle w:val="BodyTextNoSpace"/>
            </w:pPr>
            <w:r w:rsidRPr="008D3B39">
              <w:t>Vogntog med tip</w:t>
            </w:r>
          </w:p>
        </w:tc>
        <w:tc>
          <w:tcPr>
            <w:tcW w:w="2929" w:type="dxa"/>
            <w:noWrap/>
            <w:hideMark/>
          </w:tcPr>
          <w:p w14:paraId="32AFFD6E" w14:textId="77777777" w:rsidR="005445C5" w:rsidRPr="008D3B39" w:rsidRDefault="005445C5" w:rsidP="001C2533">
            <w:pPr>
              <w:pStyle w:val="BodyTextNoSpace"/>
              <w:jc w:val="center"/>
              <w:cnfStyle w:val="000000100000" w:firstRow="0" w:lastRow="0" w:firstColumn="0" w:lastColumn="0" w:oddVBand="0" w:evenVBand="0" w:oddHBand="1" w:evenHBand="0" w:firstRowFirstColumn="0" w:firstRowLastColumn="0" w:lastRowFirstColumn="0" w:lastRowLastColumn="0"/>
            </w:pPr>
            <w:r w:rsidRPr="008D3B39">
              <w:t>1.650.000</w:t>
            </w:r>
          </w:p>
        </w:tc>
      </w:tr>
      <w:tr w:rsidR="005445C5" w:rsidRPr="008D3B39" w14:paraId="39B30A2D" w14:textId="77777777" w:rsidTr="00973E96">
        <w:trPr>
          <w:trHeight w:hRule="exact" w:val="397"/>
        </w:trPr>
        <w:tc>
          <w:tcPr>
            <w:cnfStyle w:val="001000000000" w:firstRow="0" w:lastRow="0" w:firstColumn="1" w:lastColumn="0" w:oddVBand="0" w:evenVBand="0" w:oddHBand="0" w:evenHBand="0" w:firstRowFirstColumn="0" w:firstRowLastColumn="0" w:lastRowFirstColumn="0" w:lastRowLastColumn="0"/>
            <w:tcW w:w="4431" w:type="dxa"/>
            <w:noWrap/>
            <w:hideMark/>
          </w:tcPr>
          <w:p w14:paraId="4D1A4820" w14:textId="77777777" w:rsidR="005445C5" w:rsidRPr="008D3B39" w:rsidRDefault="005445C5" w:rsidP="001C2533">
            <w:pPr>
              <w:pStyle w:val="BodyTextNoSpace"/>
            </w:pPr>
            <w:r w:rsidRPr="008D3B39">
              <w:t>Trækker med trailer</w:t>
            </w:r>
          </w:p>
        </w:tc>
        <w:tc>
          <w:tcPr>
            <w:tcW w:w="2929" w:type="dxa"/>
            <w:noWrap/>
            <w:hideMark/>
          </w:tcPr>
          <w:p w14:paraId="044DDA0E" w14:textId="77777777" w:rsidR="005445C5" w:rsidRPr="008D3B39" w:rsidRDefault="005445C5" w:rsidP="001C2533">
            <w:pPr>
              <w:pStyle w:val="BodyTextNoSpace"/>
              <w:jc w:val="center"/>
              <w:cnfStyle w:val="000000000000" w:firstRow="0" w:lastRow="0" w:firstColumn="0" w:lastColumn="0" w:oddVBand="0" w:evenVBand="0" w:oddHBand="0" w:evenHBand="0" w:firstRowFirstColumn="0" w:firstRowLastColumn="0" w:lastRowFirstColumn="0" w:lastRowLastColumn="0"/>
            </w:pPr>
            <w:r w:rsidRPr="008D3B39">
              <w:t>1.200.000</w:t>
            </w:r>
          </w:p>
        </w:tc>
      </w:tr>
      <w:tr w:rsidR="005445C5" w:rsidRPr="008D3B39" w14:paraId="5D7143D7" w14:textId="77777777" w:rsidTr="00973E96">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4431" w:type="dxa"/>
            <w:noWrap/>
            <w:hideMark/>
          </w:tcPr>
          <w:p w14:paraId="249A37F1" w14:textId="77777777" w:rsidR="005445C5" w:rsidRPr="008D3B39" w:rsidRDefault="005445C5" w:rsidP="001C2533">
            <w:pPr>
              <w:pStyle w:val="BodyTextNoSpace"/>
            </w:pPr>
            <w:r w:rsidRPr="008D3B39">
              <w:t>Modulvogntog</w:t>
            </w:r>
          </w:p>
        </w:tc>
        <w:tc>
          <w:tcPr>
            <w:tcW w:w="2929" w:type="dxa"/>
            <w:noWrap/>
            <w:hideMark/>
          </w:tcPr>
          <w:p w14:paraId="4B60D8FD" w14:textId="77777777" w:rsidR="005445C5" w:rsidRPr="008D3B39" w:rsidRDefault="005445C5" w:rsidP="001C2533">
            <w:pPr>
              <w:pStyle w:val="BodyTextNoSpace"/>
              <w:jc w:val="center"/>
              <w:cnfStyle w:val="000000100000" w:firstRow="0" w:lastRow="0" w:firstColumn="0" w:lastColumn="0" w:oddVBand="0" w:evenVBand="0" w:oddHBand="1" w:evenHBand="0" w:firstRowFirstColumn="0" w:firstRowLastColumn="0" w:lastRowFirstColumn="0" w:lastRowLastColumn="0"/>
            </w:pPr>
            <w:r w:rsidRPr="008D3B39">
              <w:t>1.500.000</w:t>
            </w:r>
          </w:p>
        </w:tc>
      </w:tr>
      <w:tr w:rsidR="005445C5" w:rsidRPr="008D3B39" w14:paraId="43833C40" w14:textId="77777777" w:rsidTr="00973E96">
        <w:trPr>
          <w:trHeight w:hRule="exact" w:val="397"/>
        </w:trPr>
        <w:tc>
          <w:tcPr>
            <w:cnfStyle w:val="001000000000" w:firstRow="0" w:lastRow="0" w:firstColumn="1" w:lastColumn="0" w:oddVBand="0" w:evenVBand="0" w:oddHBand="0" w:evenHBand="0" w:firstRowFirstColumn="0" w:firstRowLastColumn="0" w:lastRowFirstColumn="0" w:lastRowLastColumn="0"/>
            <w:tcW w:w="4431" w:type="dxa"/>
            <w:noWrap/>
            <w:hideMark/>
          </w:tcPr>
          <w:p w14:paraId="5D447874" w14:textId="77777777" w:rsidR="005445C5" w:rsidRPr="008D3B39" w:rsidRDefault="005445C5" w:rsidP="001C2533">
            <w:pPr>
              <w:pStyle w:val="BodyTextNoSpace"/>
            </w:pPr>
            <w:r w:rsidRPr="008D3B39">
              <w:t>Gennemsnit</w:t>
            </w:r>
          </w:p>
        </w:tc>
        <w:tc>
          <w:tcPr>
            <w:tcW w:w="2929" w:type="dxa"/>
            <w:noWrap/>
            <w:hideMark/>
          </w:tcPr>
          <w:p w14:paraId="26CDE2D1" w14:textId="77777777" w:rsidR="005445C5" w:rsidRPr="008D3B39" w:rsidRDefault="005445C5" w:rsidP="001C2533">
            <w:pPr>
              <w:pStyle w:val="BodyTextNoSpace"/>
              <w:jc w:val="center"/>
              <w:cnfStyle w:val="000000000000" w:firstRow="0" w:lastRow="0" w:firstColumn="0" w:lastColumn="0" w:oddVBand="0" w:evenVBand="0" w:oddHBand="0" w:evenHBand="0" w:firstRowFirstColumn="0" w:firstRowLastColumn="0" w:lastRowFirstColumn="0" w:lastRowLastColumn="0"/>
            </w:pPr>
            <w:r w:rsidRPr="008D3B39">
              <w:t>1.242.700</w:t>
            </w:r>
          </w:p>
        </w:tc>
      </w:tr>
    </w:tbl>
    <w:p w14:paraId="1CAB324D" w14:textId="4F6C450F" w:rsidR="005445C5" w:rsidRPr="008D3B39" w:rsidRDefault="005445C5" w:rsidP="00973E96">
      <w:pPr>
        <w:pStyle w:val="Caption"/>
        <w:rPr>
          <w:szCs w:val="16"/>
        </w:rPr>
      </w:pPr>
      <w:r w:rsidRPr="008D3B39">
        <w:t xml:space="preserve">Kilde: Priser </w:t>
      </w:r>
      <w:r w:rsidRPr="008D3B39">
        <w:rPr>
          <w:szCs w:val="16"/>
        </w:rPr>
        <w:t>baseret på telefoninterview med lastbilforhandlere fra Scania, Volvo</w:t>
      </w:r>
      <w:r w:rsidR="00D60BFA" w:rsidRPr="008D3B39">
        <w:rPr>
          <w:szCs w:val="16"/>
        </w:rPr>
        <w:t>, 201</w:t>
      </w:r>
      <w:r w:rsidR="008D3B39">
        <w:rPr>
          <w:szCs w:val="16"/>
        </w:rPr>
        <w:t>6</w:t>
      </w:r>
    </w:p>
    <w:p w14:paraId="6EB57FA6" w14:textId="1E56C981" w:rsidR="005445C5" w:rsidRPr="008D3B39" w:rsidRDefault="005445C5" w:rsidP="005445C5">
      <w:pPr>
        <w:pStyle w:val="Caption"/>
        <w:keepNext/>
      </w:pPr>
      <w:r w:rsidRPr="008D3B39">
        <w:lastRenderedPageBreak/>
        <w:t xml:space="preserve">Tabel </w:t>
      </w:r>
      <w:r w:rsidR="009A42BC">
        <w:fldChar w:fldCharType="begin"/>
      </w:r>
      <w:r w:rsidR="009A42BC">
        <w:instrText xml:space="preserve"> STYLEREF 1 \s </w:instrText>
      </w:r>
      <w:r w:rsidR="009A42BC">
        <w:fldChar w:fldCharType="separate"/>
      </w:r>
      <w:r w:rsidR="00D14571" w:rsidRPr="008D3B39">
        <w:rPr>
          <w:noProof/>
        </w:rPr>
        <w:t>5</w:t>
      </w:r>
      <w:r w:rsidR="009A42BC">
        <w:rPr>
          <w:noProof/>
        </w:rPr>
        <w:fldChar w:fldCharType="end"/>
      </w:r>
      <w:r w:rsidR="00D14571" w:rsidRPr="008D3B39">
        <w:noBreakHyphen/>
      </w:r>
      <w:r w:rsidR="009A42BC">
        <w:fldChar w:fldCharType="begin"/>
      </w:r>
      <w:r w:rsidR="009A42BC">
        <w:instrText xml:space="preserve"> SEQ Tabel \* ARABIC \s 1 </w:instrText>
      </w:r>
      <w:r w:rsidR="009A42BC">
        <w:fldChar w:fldCharType="separate"/>
      </w:r>
      <w:r w:rsidR="00D14571" w:rsidRPr="008D3B39">
        <w:rPr>
          <w:noProof/>
        </w:rPr>
        <w:t>5</w:t>
      </w:r>
      <w:r w:rsidR="009A42BC">
        <w:rPr>
          <w:noProof/>
        </w:rPr>
        <w:fldChar w:fldCharType="end"/>
      </w:r>
      <w:r w:rsidRPr="008D3B39">
        <w:t xml:space="preserve"> Afskrivning per kilometer for lastbiler efter størrelse og årgang (kr./km)</w:t>
      </w:r>
      <w:r w:rsidR="00D60BFA" w:rsidRPr="008D3B39">
        <w:t xml:space="preserve">. </w:t>
      </w:r>
    </w:p>
    <w:p w14:paraId="43EEEEAD" w14:textId="3C2276F4" w:rsidR="005445C5" w:rsidRDefault="000961D0" w:rsidP="005445C5">
      <w:pPr>
        <w:pStyle w:val="BodyText"/>
      </w:pPr>
      <w:r w:rsidRPr="000961D0">
        <w:rPr>
          <w:noProof/>
        </w:rPr>
        <w:drawing>
          <wp:inline distT="0" distB="0" distL="0" distR="0" wp14:anchorId="161CBB02" wp14:editId="4C4FF2E0">
            <wp:extent cx="4581525" cy="2752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168113A1" w14:textId="1034A89D" w:rsidR="005445C5" w:rsidRDefault="00AB1BA5" w:rsidP="00AB1BA5">
      <w:pPr>
        <w:pStyle w:val="Heading2"/>
      </w:pPr>
      <w:bookmarkStart w:id="22" w:name="_Ref88826961"/>
      <w:bookmarkStart w:id="23" w:name="_Toc88834874"/>
      <w:r>
        <w:t>Service, reparation og vedligeholdelse</w:t>
      </w:r>
      <w:bookmarkEnd w:id="22"/>
      <w:bookmarkEnd w:id="23"/>
    </w:p>
    <w:p w14:paraId="2C464D30" w14:textId="77777777" w:rsidR="00D14571" w:rsidRPr="0064282D" w:rsidRDefault="00D14571" w:rsidP="00D14571">
      <w:pPr>
        <w:pStyle w:val="BodyText"/>
      </w:pPr>
      <w:r w:rsidRPr="00B76316">
        <w:t>En af de væsentlige omkostningskomponenter for såvel personbiler som vare- og lastbiler er</w:t>
      </w:r>
      <w:bookmarkStart w:id="24" w:name="_Hlk85545068"/>
      <w:r w:rsidRPr="00B76316">
        <w:t xml:space="preserve"> </w:t>
      </w:r>
      <w:r w:rsidRPr="0064282D">
        <w:t>omkostninger til service, reparation og vedligeholdelse.</w:t>
      </w:r>
      <w:bookmarkEnd w:id="24"/>
    </w:p>
    <w:p w14:paraId="200C07CD" w14:textId="130BBE3A" w:rsidR="00D14571" w:rsidRPr="00D92C75" w:rsidRDefault="00D14571" w:rsidP="00D14571">
      <w:pPr>
        <w:pStyle w:val="BodyText"/>
      </w:pPr>
      <w:r w:rsidRPr="0064282D">
        <w:t xml:space="preserve">For såvel personbiler og varebiler som for lastbiler tager vores skøn over gennemsnitlige omkostninger til service, reparation og vedligeholdelse udgangspunkt i, at disse omkostninger især er korreleret med/afhænger af størrelser som </w:t>
      </w:r>
      <w:bookmarkStart w:id="25" w:name="_Hlk85546236"/>
      <w:r w:rsidRPr="0064282D">
        <w:t>køretøjets kategori/segment</w:t>
      </w:r>
      <w:bookmarkEnd w:id="25"/>
      <w:r w:rsidRPr="0064282D">
        <w:t xml:space="preserve">, alder/antal brugs-år og </w:t>
      </w:r>
      <w:bookmarkStart w:id="26" w:name="_Hlk85546754"/>
      <w:r w:rsidRPr="0064282D">
        <w:t>kørselsomfang</w:t>
      </w:r>
      <w:bookmarkEnd w:id="26"/>
      <w:r w:rsidRPr="0064282D">
        <w:t>. Konkret forudsættes at primært køretøjets kategori/segment og sekundært dets alder fastlægger niveauet for omkostningerne, mens omkostningerne derfra varierer med kørselsomfanget (her fastlagt ved gennemsnitlige årskørsel for den påg</w:t>
      </w:r>
      <w:r w:rsidRPr="00D92C75">
        <w:t>ældende årgang i det pågældende segment).</w:t>
      </w:r>
    </w:p>
    <w:p w14:paraId="08940364" w14:textId="77777777" w:rsidR="00D14571" w:rsidRPr="00D92C75" w:rsidRDefault="00D14571" w:rsidP="00D14571">
      <w:pPr>
        <w:pStyle w:val="Heading3"/>
      </w:pPr>
      <w:r w:rsidRPr="00D92C75">
        <w:t xml:space="preserve">Personbiler og varebiler </w:t>
      </w:r>
    </w:p>
    <w:p w14:paraId="3152C47B" w14:textId="0991B057" w:rsidR="00D14571" w:rsidRPr="00D92C75" w:rsidRDefault="00D14571" w:rsidP="00D14571">
      <w:pPr>
        <w:pStyle w:val="BodyText"/>
      </w:pPr>
      <w:r w:rsidRPr="00D92C75">
        <w:t xml:space="preserve">Vi har således revurderet den hidtidige metode til </w:t>
      </w:r>
      <w:proofErr w:type="spellStart"/>
      <w:r w:rsidRPr="00D92C75">
        <w:t>estimation</w:t>
      </w:r>
      <w:proofErr w:type="spellEnd"/>
      <w:r w:rsidRPr="00D92C75">
        <w:t xml:space="preserve"> af omkostninger til service, reparation og vedligeholdelse, særligt for så vidt angår konventionelle personbiler og varebiler. Dette skyldes særligt at den hidtidige metode - hvor gennemsnitlige årlige omkostninger til service, reparation og vedligeholdelse var forudsat proportionale med størrelser som bilens pris, levealder/antal </w:t>
      </w:r>
      <w:proofErr w:type="spellStart"/>
      <w:r w:rsidRPr="00D92C75">
        <w:t>brugsår</w:t>
      </w:r>
      <w:proofErr w:type="spellEnd"/>
      <w:r w:rsidRPr="00D92C75">
        <w:t xml:space="preserve"> og kørselsomfang</w:t>
      </w:r>
      <w:r w:rsidRPr="00D92C75">
        <w:rPr>
          <w:rStyle w:val="FootnoteReference"/>
        </w:rPr>
        <w:footnoteReference w:id="15"/>
      </w:r>
      <w:r w:rsidRPr="00D92C75">
        <w:t xml:space="preserve"> - har vist sig at resultere i omkostninger</w:t>
      </w:r>
      <w:r>
        <w:t>,</w:t>
      </w:r>
      <w:r w:rsidRPr="00D92C75">
        <w:t xml:space="preserve"> der for biler i de højere prisklasser</w:t>
      </w:r>
      <w:r>
        <w:t>,</w:t>
      </w:r>
      <w:r w:rsidRPr="00D92C75">
        <w:t xml:space="preserve"> synes usandsynligt høje.</w:t>
      </w:r>
    </w:p>
    <w:p w14:paraId="4F488284" w14:textId="77777777" w:rsidR="00D14571" w:rsidRPr="00D92C75" w:rsidRDefault="00D14571" w:rsidP="00D14571">
      <w:pPr>
        <w:pStyle w:val="Heading4"/>
      </w:pPr>
      <w:r w:rsidRPr="00D92C75">
        <w:lastRenderedPageBreak/>
        <w:t xml:space="preserve">Personbiler </w:t>
      </w:r>
    </w:p>
    <w:p w14:paraId="2BC3E802" w14:textId="77777777" w:rsidR="00D14571" w:rsidRPr="00D92C75" w:rsidRDefault="00D14571" w:rsidP="00D14571">
      <w:pPr>
        <w:pStyle w:val="MarginFrame"/>
        <w:framePr w:wrap="around"/>
      </w:pPr>
      <w:r w:rsidRPr="00D92C75">
        <w:t>Konventionelle</w:t>
      </w:r>
    </w:p>
    <w:p w14:paraId="15A85757" w14:textId="786F51AA" w:rsidR="00D14571" w:rsidRPr="00D92C75" w:rsidRDefault="00D14571" w:rsidP="00D14571">
      <w:pPr>
        <w:pStyle w:val="BodyText"/>
      </w:pPr>
      <w:r w:rsidRPr="00D92C75">
        <w:t xml:space="preserve">Vi har fået adgang til baggrundsdata fra den </w:t>
      </w:r>
      <w:proofErr w:type="gramStart"/>
      <w:r w:rsidRPr="00D92C75">
        <w:t>TCO beregner</w:t>
      </w:r>
      <w:proofErr w:type="gramEnd"/>
      <w:r>
        <w:t>,</w:t>
      </w:r>
      <w:r>
        <w:rPr>
          <w:rStyle w:val="FootnoteReference"/>
        </w:rPr>
        <w:footnoteReference w:id="16"/>
      </w:r>
      <w:r w:rsidRPr="00D92C75">
        <w:t xml:space="preserve"> der også </w:t>
      </w:r>
      <w:r w:rsidR="001805E7">
        <w:t xml:space="preserve">i de tidligere versioner af kørselsomkostningerne </w:t>
      </w:r>
      <w:r w:rsidR="00DE0407">
        <w:t xml:space="preserve">har </w:t>
      </w:r>
      <w:r w:rsidRPr="00D92C75">
        <w:t>været anvendt til at fastlægge omkostninger til service, reparation og vedligehold i den tidligere version af kørselsomkostningerne</w:t>
      </w:r>
      <w:r>
        <w:t>. Vi tager nu direkte udgangspunkt i disse</w:t>
      </w:r>
      <w:r w:rsidRPr="00513D95">
        <w:t xml:space="preserve"> </w:t>
      </w:r>
      <w:r w:rsidRPr="00D92C75">
        <w:t>baggrundsdata</w:t>
      </w:r>
      <w:r>
        <w:t>, idet vi fortsat vurderer, at de repræsenterer det umiddelbart bedst tilgængelige og valide datagrundlag</w:t>
      </w:r>
      <w:r w:rsidRPr="00D92C75">
        <w:t xml:space="preserve">. </w:t>
      </w:r>
    </w:p>
    <w:p w14:paraId="762B6A70" w14:textId="77777777" w:rsidR="00D14571" w:rsidRDefault="00D14571" w:rsidP="00D14571">
      <w:pPr>
        <w:pStyle w:val="BodyText"/>
      </w:pPr>
      <w:r w:rsidRPr="00D92C75">
        <w:t>På basis af data fra servicekontrakter for et udvalg af henholdsvis benzin- og diesel personbiler i de forskellige segmenter/kategorier, er der her estimeret koefficienter for en lineær sammenhæng, hvor omkostninge</w:t>
      </w:r>
      <w:r>
        <w:t>r</w:t>
      </w:r>
      <w:r w:rsidRPr="00D92C75">
        <w:t xml:space="preserve"> til service, reparation og vedligehold p</w:t>
      </w:r>
      <w:r>
        <w:t>e</w:t>
      </w:r>
      <w:r w:rsidRPr="00D92C75">
        <w:t xml:space="preserve">r kilometer </w:t>
      </w:r>
      <w:r>
        <w:t>beskrives ved</w:t>
      </w:r>
      <w:r w:rsidRPr="00D92C75">
        <w:t xml:space="preserve"> en lineær funktion af bilens alder (antal </w:t>
      </w:r>
      <w:proofErr w:type="spellStart"/>
      <w:r w:rsidRPr="00D92C75">
        <w:t>brugsår</w:t>
      </w:r>
      <w:proofErr w:type="spellEnd"/>
      <w:r w:rsidRPr="00D92C75">
        <w:t>). For de forskellige kombinationer af drivmidler</w:t>
      </w:r>
      <w:r>
        <w:t xml:space="preserve">, </w:t>
      </w:r>
      <w:r w:rsidRPr="00D14571">
        <w:rPr>
          <w:i/>
          <w:iCs/>
        </w:rPr>
        <w:t>d</w:t>
      </w:r>
      <w:r>
        <w:t>,</w:t>
      </w:r>
      <w:r w:rsidRPr="00D92C75">
        <w:t xml:space="preserve"> og segmenter/kategorier,</w:t>
      </w:r>
      <w:r>
        <w:t xml:space="preserve"> </w:t>
      </w:r>
      <w:r w:rsidRPr="00D14571">
        <w:rPr>
          <w:i/>
          <w:iCs/>
        </w:rPr>
        <w:t>s</w:t>
      </w:r>
      <w:r>
        <w:t>,</w:t>
      </w:r>
      <w:r w:rsidRPr="00D92C75">
        <w:t xml:space="preserve"> fastlægges de gennemsnitlige omkostninger p</w:t>
      </w:r>
      <w:r>
        <w:t>e</w:t>
      </w:r>
      <w:r w:rsidRPr="00D92C75">
        <w:t>r kilometer (til service, reparation og vedligehold)</w:t>
      </w:r>
      <w:r>
        <w:t xml:space="preserve"> </w:t>
      </w:r>
      <w:r w:rsidRPr="00D14571">
        <w:rPr>
          <w:u w:val="single"/>
        </w:rPr>
        <w:t>eksklusiv</w:t>
      </w:r>
      <w:r>
        <w:t xml:space="preserve"> moms, </w:t>
      </w:r>
      <w:proofErr w:type="spellStart"/>
      <w:proofErr w:type="gramStart"/>
      <w:r>
        <w:t>C</w:t>
      </w:r>
      <w:r>
        <w:rPr>
          <w:vertAlign w:val="subscript"/>
        </w:rPr>
        <w:t>rel,d</w:t>
      </w:r>
      <w:proofErr w:type="gramEnd"/>
      <w:r>
        <w:rPr>
          <w:vertAlign w:val="subscript"/>
        </w:rPr>
        <w:t>,s</w:t>
      </w:r>
      <w:proofErr w:type="spellEnd"/>
      <w:r>
        <w:t>, således</w:t>
      </w:r>
      <w:r w:rsidRPr="00D92C75">
        <w:t xml:space="preserve"> ud fra følgende sammenhæng</w:t>
      </w:r>
      <w:r>
        <w:t xml:space="preserve">, hvor </w:t>
      </w:r>
      <w:r w:rsidRPr="00D14571">
        <w:rPr>
          <w:i/>
          <w:iCs/>
        </w:rPr>
        <w:t>n</w:t>
      </w:r>
      <w:r>
        <w:t xml:space="preserve"> angiver bilens alder</w:t>
      </w:r>
      <w:r w:rsidRPr="00D92C75">
        <w:t xml:space="preserve">: </w:t>
      </w:r>
    </w:p>
    <w:p w14:paraId="7A9F2F9D" w14:textId="77777777" w:rsidR="00D14571" w:rsidRPr="00D92C75" w:rsidRDefault="00D14571" w:rsidP="00D14571">
      <w:pPr>
        <w:pStyle w:val="BodyText"/>
      </w:pPr>
      <w:r>
        <w:tab/>
      </w:r>
      <w:proofErr w:type="spellStart"/>
      <w:proofErr w:type="gramStart"/>
      <w:r>
        <w:t>C</w:t>
      </w:r>
      <w:r>
        <w:rPr>
          <w:vertAlign w:val="subscript"/>
        </w:rPr>
        <w:t>rel,d</w:t>
      </w:r>
      <w:proofErr w:type="gramEnd"/>
      <w:r>
        <w:rPr>
          <w:vertAlign w:val="subscript"/>
        </w:rPr>
        <w:t>,s</w:t>
      </w:r>
      <w:proofErr w:type="spellEnd"/>
      <w:r>
        <w:t xml:space="preserve"> = </w:t>
      </w:r>
      <w:r>
        <w:rPr>
          <w:rFonts w:ascii="Cambria Math" w:hAnsi="Cambria Math"/>
        </w:rPr>
        <w:t>∝</w:t>
      </w:r>
      <w:proofErr w:type="spellStart"/>
      <w:r>
        <w:rPr>
          <w:rFonts w:ascii="Cambria Math" w:hAnsi="Cambria Math"/>
          <w:vertAlign w:val="subscript"/>
        </w:rPr>
        <w:t>d,s</w:t>
      </w:r>
      <w:proofErr w:type="spellEnd"/>
      <w:r>
        <w:t xml:space="preserve"> + </w:t>
      </w:r>
      <w:r>
        <w:rPr>
          <w:rFonts w:ascii="Cambria Math" w:hAnsi="Cambria Math"/>
        </w:rPr>
        <w:t>β</w:t>
      </w:r>
      <w:proofErr w:type="spellStart"/>
      <w:r>
        <w:rPr>
          <w:rFonts w:ascii="Cambria Math" w:hAnsi="Cambria Math"/>
          <w:vertAlign w:val="subscript"/>
        </w:rPr>
        <w:t>d,s</w:t>
      </w:r>
      <w:proofErr w:type="spellEnd"/>
      <w:r>
        <w:t xml:space="preserve"> </w:t>
      </w:r>
      <w:r>
        <w:rPr>
          <w:rFonts w:ascii="Cambria Math" w:hAnsi="Cambria Math"/>
        </w:rPr>
        <w:t>∗</w:t>
      </w:r>
      <w:r>
        <w:t xml:space="preserve"> n</w:t>
      </w:r>
    </w:p>
    <w:p w14:paraId="47F28DA6" w14:textId="77777777" w:rsidR="00D14571" w:rsidRPr="00D92C75" w:rsidRDefault="00D14571" w:rsidP="00D14571">
      <w:pPr>
        <w:pStyle w:val="BodyText"/>
      </w:pPr>
      <w:r w:rsidRPr="00D92C75">
        <w:t>De samlede gennemsnitlige, årlige omkostninger for en given personbil</w:t>
      </w:r>
      <w:r>
        <w:t xml:space="preserve"> </w:t>
      </w:r>
      <w:r w:rsidRPr="00D14571">
        <w:rPr>
          <w:u w:val="single"/>
        </w:rPr>
        <w:t>inklusiv</w:t>
      </w:r>
      <w:r>
        <w:t xml:space="preserve"> moms, </w:t>
      </w:r>
      <w:proofErr w:type="spellStart"/>
      <w:proofErr w:type="gramStart"/>
      <w:r>
        <w:t>C</w:t>
      </w:r>
      <w:r>
        <w:rPr>
          <w:vertAlign w:val="subscript"/>
        </w:rPr>
        <w:t>tot,d</w:t>
      </w:r>
      <w:proofErr w:type="gramEnd"/>
      <w:r>
        <w:rPr>
          <w:vertAlign w:val="subscript"/>
        </w:rPr>
        <w:t>,s</w:t>
      </w:r>
      <w:proofErr w:type="spellEnd"/>
      <w:r w:rsidRPr="00D92C75">
        <w:t xml:space="preserve"> </w:t>
      </w:r>
      <w:r>
        <w:t xml:space="preserve">, kan </w:t>
      </w:r>
      <w:r w:rsidRPr="00D92C75">
        <w:t>herefter beregnes på basis af den gennemsnitlige årskørsel</w:t>
      </w:r>
      <w:r>
        <w:t xml:space="preserve">, </w:t>
      </w:r>
      <w:r w:rsidRPr="00D14571">
        <w:rPr>
          <w:i/>
          <w:iCs/>
        </w:rPr>
        <w:t>k</w:t>
      </w:r>
      <w:r>
        <w:t>,</w:t>
      </w:r>
      <w:r w:rsidRPr="00D92C75">
        <w:t xml:space="preserve"> for en bil karakteriseret ved det pågældende drivmiddel/segment og alder,</w:t>
      </w:r>
      <w:r>
        <w:t xml:space="preserve"> </w:t>
      </w:r>
      <w:r w:rsidRPr="00D92C75">
        <w:t>på følgende vis:</w:t>
      </w:r>
    </w:p>
    <w:p w14:paraId="3F30FDA2" w14:textId="77777777" w:rsidR="00D14571" w:rsidRDefault="00D14571" w:rsidP="00D14571">
      <w:pPr>
        <w:pStyle w:val="BodyText"/>
        <w:rPr>
          <w:highlight w:val="yellow"/>
        </w:rPr>
      </w:pPr>
      <w:r w:rsidRPr="00D92C75">
        <w:t xml:space="preserve"> </w:t>
      </w:r>
      <w:r>
        <w:tab/>
      </w:r>
      <w:proofErr w:type="spellStart"/>
      <w:proofErr w:type="gramStart"/>
      <w:r>
        <w:t>C</w:t>
      </w:r>
      <w:r>
        <w:rPr>
          <w:vertAlign w:val="subscript"/>
        </w:rPr>
        <w:t>tot,d</w:t>
      </w:r>
      <w:proofErr w:type="gramEnd"/>
      <w:r>
        <w:rPr>
          <w:vertAlign w:val="subscript"/>
        </w:rPr>
        <w:t>,s,n</w:t>
      </w:r>
      <w:proofErr w:type="spellEnd"/>
      <w:r>
        <w:t xml:space="preserve"> = 1,25 </w:t>
      </w:r>
      <w:r>
        <w:rPr>
          <w:rFonts w:ascii="Cambria Math" w:hAnsi="Cambria Math"/>
        </w:rPr>
        <w:t>∗</w:t>
      </w:r>
      <w:r>
        <w:t xml:space="preserve"> (</w:t>
      </w:r>
      <w:r>
        <w:rPr>
          <w:rFonts w:ascii="Cambria Math" w:hAnsi="Cambria Math"/>
        </w:rPr>
        <w:t>∝</w:t>
      </w:r>
      <w:proofErr w:type="spellStart"/>
      <w:r>
        <w:rPr>
          <w:rFonts w:ascii="Cambria Math" w:hAnsi="Cambria Math"/>
          <w:vertAlign w:val="subscript"/>
        </w:rPr>
        <w:t>d,s</w:t>
      </w:r>
      <w:proofErr w:type="spellEnd"/>
      <w:r>
        <w:t xml:space="preserve"> + </w:t>
      </w:r>
      <w:r>
        <w:rPr>
          <w:rFonts w:ascii="Cambria Math" w:hAnsi="Cambria Math"/>
        </w:rPr>
        <w:t>β</w:t>
      </w:r>
      <w:proofErr w:type="spellStart"/>
      <w:r>
        <w:rPr>
          <w:rFonts w:ascii="Cambria Math" w:hAnsi="Cambria Math"/>
          <w:vertAlign w:val="subscript"/>
        </w:rPr>
        <w:t>d,s</w:t>
      </w:r>
      <w:proofErr w:type="spellEnd"/>
      <w:r>
        <w:t xml:space="preserve"> </w:t>
      </w:r>
      <w:r>
        <w:rPr>
          <w:rFonts w:ascii="Cambria Math" w:hAnsi="Cambria Math"/>
        </w:rPr>
        <w:t>∗</w:t>
      </w:r>
      <w:r>
        <w:t xml:space="preserve"> n) </w:t>
      </w:r>
      <w:r>
        <w:rPr>
          <w:rFonts w:ascii="Cambria Math" w:hAnsi="Cambria Math"/>
        </w:rPr>
        <w:t>∗</w:t>
      </w:r>
      <w:r>
        <w:t xml:space="preserve"> k</w:t>
      </w:r>
    </w:p>
    <w:p w14:paraId="557F1202" w14:textId="77777777" w:rsidR="00D14571" w:rsidRDefault="00D14571" w:rsidP="00D14571">
      <w:pPr>
        <w:pStyle w:val="BodyText"/>
      </w:pPr>
      <w:r>
        <w:t xml:space="preserve">De estimerede koefficienter – opjusteret i forhold til prisudviklingen (Forbrugerprisindeks) indenfor branchen – gengives i nedenstående tabeller for henholdsvis benzin og diesel personbiler. </w:t>
      </w:r>
    </w:p>
    <w:p w14:paraId="22AF1C66" w14:textId="0FF81B2E" w:rsidR="00D14571" w:rsidRDefault="00D14571" w:rsidP="00D14571">
      <w:pPr>
        <w:pStyle w:val="Caption"/>
        <w:keepNext/>
        <w:keepLines/>
      </w:pPr>
      <w:r>
        <w:t xml:space="preserve">Tabel </w:t>
      </w:r>
      <w:r w:rsidR="009A42BC">
        <w:fldChar w:fldCharType="begin"/>
      </w:r>
      <w:r w:rsidR="009A42BC">
        <w:instrText xml:space="preserve"> STYLEREF 1 \s </w:instrText>
      </w:r>
      <w:r w:rsidR="009A42BC">
        <w:fldChar w:fldCharType="separate"/>
      </w:r>
      <w:r>
        <w:rPr>
          <w:noProof/>
        </w:rPr>
        <w:t>5</w:t>
      </w:r>
      <w:r w:rsidR="009A42BC">
        <w:rPr>
          <w:noProof/>
        </w:rPr>
        <w:fldChar w:fldCharType="end"/>
      </w:r>
      <w:r>
        <w:noBreakHyphen/>
      </w:r>
      <w:r w:rsidR="009A42BC">
        <w:fldChar w:fldCharType="begin"/>
      </w:r>
      <w:r w:rsidR="009A42BC">
        <w:instrText xml:space="preserve"> SEQ Tabel \* ARABIC \s 1 </w:instrText>
      </w:r>
      <w:r w:rsidR="009A42BC">
        <w:fldChar w:fldCharType="separate"/>
      </w:r>
      <w:r>
        <w:rPr>
          <w:noProof/>
        </w:rPr>
        <w:t>6</w:t>
      </w:r>
      <w:r w:rsidR="009A42BC">
        <w:rPr>
          <w:noProof/>
        </w:rPr>
        <w:fldChar w:fldCharType="end"/>
      </w:r>
      <w:r>
        <w:tab/>
        <w:t>K</w:t>
      </w:r>
      <w:bookmarkStart w:id="27" w:name="_Hlk85728675"/>
      <w:r>
        <w:t>oefficienter til omkostningsfunktion for benzin personbiler</w:t>
      </w:r>
      <w:bookmarkEnd w:id="27"/>
    </w:p>
    <w:tbl>
      <w:tblPr>
        <w:tblStyle w:val="GridTable5Dark-Accent31"/>
        <w:tblW w:w="0" w:type="auto"/>
        <w:tblLook w:val="04A0" w:firstRow="1" w:lastRow="0" w:firstColumn="1" w:lastColumn="0" w:noHBand="0" w:noVBand="1"/>
      </w:tblPr>
      <w:tblGrid>
        <w:gridCol w:w="3969"/>
        <w:gridCol w:w="1417"/>
        <w:gridCol w:w="1417"/>
      </w:tblGrid>
      <w:tr w:rsidR="00D14571" w14:paraId="2B32662C" w14:textId="77777777" w:rsidTr="00412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151BFB6" w14:textId="77777777" w:rsidR="00D14571" w:rsidRPr="0020543F" w:rsidRDefault="00D14571" w:rsidP="00E44DB0">
            <w:pPr>
              <w:pStyle w:val="TableText"/>
              <w:keepNext/>
              <w:keepLines/>
              <w:rPr>
                <w:b w:val="0"/>
                <w:bCs w:val="0"/>
              </w:rPr>
            </w:pPr>
            <w:r w:rsidRPr="0020543F">
              <w:t>Segment og drivmiddel</w:t>
            </w:r>
          </w:p>
        </w:tc>
        <w:tc>
          <w:tcPr>
            <w:tcW w:w="1417" w:type="dxa"/>
          </w:tcPr>
          <w:p w14:paraId="78347A90" w14:textId="77777777" w:rsidR="00D14571" w:rsidRPr="00FB21C0" w:rsidRDefault="00D14571" w:rsidP="00E44DB0">
            <w:pPr>
              <w:pStyle w:val="TableText"/>
              <w:keepNext/>
              <w:keepLines/>
              <w:jc w:val="center"/>
              <w:cnfStyle w:val="100000000000" w:firstRow="1" w:lastRow="0" w:firstColumn="0" w:lastColumn="0" w:oddVBand="0" w:evenVBand="0" w:oddHBand="0" w:evenHBand="0" w:firstRowFirstColumn="0" w:firstRowLastColumn="0" w:lastRowFirstColumn="0" w:lastRowLastColumn="0"/>
              <w:rPr>
                <w:rFonts w:ascii="Cambria Math" w:hAnsi="Cambria Math"/>
                <w:b w:val="0"/>
                <w:bCs w:val="0"/>
              </w:rPr>
            </w:pPr>
            <w:r w:rsidRPr="0020543F">
              <w:t xml:space="preserve">Koefficient </w:t>
            </w:r>
            <w:r w:rsidRPr="0020543F">
              <w:rPr>
                <w:rFonts w:ascii="Cambria Math" w:hAnsi="Cambria Math"/>
              </w:rPr>
              <w:t>α</w:t>
            </w:r>
          </w:p>
          <w:p w14:paraId="104ED12A" w14:textId="77777777" w:rsidR="00D14571" w:rsidRPr="0020543F" w:rsidRDefault="00D14571" w:rsidP="00E44DB0">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bCs w:val="0"/>
              </w:rPr>
            </w:pPr>
            <w:r w:rsidRPr="00C27824">
              <w:t>[kr. pr. km]</w:t>
            </w:r>
          </w:p>
        </w:tc>
        <w:tc>
          <w:tcPr>
            <w:tcW w:w="1417" w:type="dxa"/>
          </w:tcPr>
          <w:p w14:paraId="3ABAECA2" w14:textId="77777777" w:rsidR="00D14571" w:rsidRDefault="00D14571" w:rsidP="00E44DB0">
            <w:pPr>
              <w:pStyle w:val="TableText"/>
              <w:keepNext/>
              <w:keepLines/>
              <w:jc w:val="center"/>
              <w:cnfStyle w:val="100000000000" w:firstRow="1" w:lastRow="0" w:firstColumn="0" w:lastColumn="0" w:oddVBand="0" w:evenVBand="0" w:oddHBand="0" w:evenHBand="0" w:firstRowFirstColumn="0" w:firstRowLastColumn="0" w:lastRowFirstColumn="0" w:lastRowLastColumn="0"/>
              <w:rPr>
                <w:rFonts w:ascii="Cambria Math" w:hAnsi="Cambria Math"/>
                <w:b w:val="0"/>
                <w:bCs w:val="0"/>
              </w:rPr>
            </w:pPr>
            <w:bookmarkStart w:id="28" w:name="_Hlk85732983"/>
            <w:r w:rsidRPr="0020543F">
              <w:t xml:space="preserve">Koefficient </w:t>
            </w:r>
            <w:r w:rsidRPr="0020543F">
              <w:rPr>
                <w:rFonts w:ascii="Cambria Math" w:hAnsi="Cambria Math"/>
              </w:rPr>
              <w:t>β</w:t>
            </w:r>
          </w:p>
          <w:bookmarkEnd w:id="28"/>
          <w:p w14:paraId="3014DB6B" w14:textId="77777777" w:rsidR="00D14571" w:rsidRPr="0020543F" w:rsidRDefault="00D14571" w:rsidP="00E44DB0">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bCs w:val="0"/>
              </w:rPr>
            </w:pPr>
            <w:r w:rsidRPr="00FB21C0">
              <w:t xml:space="preserve">[kr. pr. km pr. år] </w:t>
            </w:r>
          </w:p>
        </w:tc>
      </w:tr>
      <w:tr w:rsidR="00D14571" w14:paraId="5541CF75" w14:textId="77777777" w:rsidTr="0041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78678B4" w14:textId="77777777" w:rsidR="00D14571" w:rsidRDefault="00D14571" w:rsidP="00E44DB0">
            <w:pPr>
              <w:pStyle w:val="TableText"/>
              <w:keepNext/>
              <w:keepLines/>
            </w:pPr>
            <w:r>
              <w:t>Mini person</w:t>
            </w:r>
            <w:r w:rsidRPr="009A71A3">
              <w:t>bil</w:t>
            </w:r>
            <w:r>
              <w:t xml:space="preserve"> (</w:t>
            </w:r>
            <w:r w:rsidRPr="009A71A3">
              <w:t>A segment</w:t>
            </w:r>
            <w:r>
              <w:t>), benzin</w:t>
            </w:r>
          </w:p>
        </w:tc>
        <w:tc>
          <w:tcPr>
            <w:tcW w:w="1417" w:type="dxa"/>
          </w:tcPr>
          <w:p w14:paraId="0CD17F9D" w14:textId="77777777" w:rsidR="00D14571" w:rsidRDefault="00D14571" w:rsidP="00E44DB0">
            <w:pPr>
              <w:pStyle w:val="TableText"/>
              <w:keepNext/>
              <w:keepLines/>
              <w:jc w:val="right"/>
              <w:cnfStyle w:val="000000100000" w:firstRow="0" w:lastRow="0" w:firstColumn="0" w:lastColumn="0" w:oddVBand="0" w:evenVBand="0" w:oddHBand="1" w:evenHBand="0" w:firstRowFirstColumn="0" w:firstRowLastColumn="0" w:lastRowFirstColumn="0" w:lastRowLastColumn="0"/>
            </w:pPr>
            <w:r w:rsidRPr="009A71A3">
              <w:t>0,126821845</w:t>
            </w:r>
          </w:p>
        </w:tc>
        <w:tc>
          <w:tcPr>
            <w:tcW w:w="1417" w:type="dxa"/>
          </w:tcPr>
          <w:p w14:paraId="5C1964ED" w14:textId="77777777" w:rsidR="00D14571" w:rsidRDefault="00D14571" w:rsidP="00E44DB0">
            <w:pPr>
              <w:pStyle w:val="TableText"/>
              <w:keepNext/>
              <w:keepLines/>
              <w:jc w:val="right"/>
              <w:cnfStyle w:val="000000100000" w:firstRow="0" w:lastRow="0" w:firstColumn="0" w:lastColumn="0" w:oddVBand="0" w:evenVBand="0" w:oddHBand="1" w:evenHBand="0" w:firstRowFirstColumn="0" w:firstRowLastColumn="0" w:lastRowFirstColumn="0" w:lastRowLastColumn="0"/>
            </w:pPr>
            <w:r w:rsidRPr="009A71A3">
              <w:t>0,01621916</w:t>
            </w:r>
          </w:p>
        </w:tc>
      </w:tr>
      <w:tr w:rsidR="00D14571" w14:paraId="13199B2C" w14:textId="77777777" w:rsidTr="00412A43">
        <w:tc>
          <w:tcPr>
            <w:cnfStyle w:val="001000000000" w:firstRow="0" w:lastRow="0" w:firstColumn="1" w:lastColumn="0" w:oddVBand="0" w:evenVBand="0" w:oddHBand="0" w:evenHBand="0" w:firstRowFirstColumn="0" w:firstRowLastColumn="0" w:lastRowFirstColumn="0" w:lastRowLastColumn="0"/>
            <w:tcW w:w="3969" w:type="dxa"/>
          </w:tcPr>
          <w:p w14:paraId="58C0A2E7" w14:textId="77777777" w:rsidR="00D14571" w:rsidRDefault="00D14571" w:rsidP="00E44DB0">
            <w:pPr>
              <w:pStyle w:val="TableText"/>
              <w:keepNext/>
              <w:keepLines/>
            </w:pPr>
            <w:r>
              <w:t>Lille</w:t>
            </w:r>
            <w:r w:rsidRPr="00FD06F7">
              <w:t xml:space="preserve"> personbil (</w:t>
            </w:r>
            <w:r>
              <w:t>B</w:t>
            </w:r>
            <w:r w:rsidRPr="00FD06F7">
              <w:t xml:space="preserve"> segment), benzin</w:t>
            </w:r>
          </w:p>
        </w:tc>
        <w:tc>
          <w:tcPr>
            <w:tcW w:w="1417" w:type="dxa"/>
          </w:tcPr>
          <w:p w14:paraId="71366B3B" w14:textId="77777777" w:rsidR="00D14571" w:rsidRDefault="00D14571" w:rsidP="00E44DB0">
            <w:pPr>
              <w:pStyle w:val="TableText"/>
              <w:keepNext/>
              <w:keepLines/>
              <w:jc w:val="right"/>
              <w:cnfStyle w:val="000000000000" w:firstRow="0" w:lastRow="0" w:firstColumn="0" w:lastColumn="0" w:oddVBand="0" w:evenVBand="0" w:oddHBand="0" w:evenHBand="0" w:firstRowFirstColumn="0" w:firstRowLastColumn="0" w:lastRowFirstColumn="0" w:lastRowLastColumn="0"/>
            </w:pPr>
            <w:r w:rsidRPr="009A71A3">
              <w:t>0,134903805</w:t>
            </w:r>
          </w:p>
        </w:tc>
        <w:tc>
          <w:tcPr>
            <w:tcW w:w="1417" w:type="dxa"/>
          </w:tcPr>
          <w:p w14:paraId="4FBCA52D" w14:textId="77777777" w:rsidR="00D14571" w:rsidRDefault="00D14571" w:rsidP="00E44DB0">
            <w:pPr>
              <w:pStyle w:val="TableText"/>
              <w:keepNext/>
              <w:keepLines/>
              <w:jc w:val="right"/>
              <w:cnfStyle w:val="000000000000" w:firstRow="0" w:lastRow="0" w:firstColumn="0" w:lastColumn="0" w:oddVBand="0" w:evenVBand="0" w:oddHBand="0" w:evenHBand="0" w:firstRowFirstColumn="0" w:firstRowLastColumn="0" w:lastRowFirstColumn="0" w:lastRowLastColumn="0"/>
            </w:pPr>
            <w:r w:rsidRPr="009A71A3">
              <w:t>0,025648113</w:t>
            </w:r>
          </w:p>
        </w:tc>
      </w:tr>
      <w:tr w:rsidR="00D14571" w14:paraId="73298771" w14:textId="77777777" w:rsidTr="0041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862A912" w14:textId="77777777" w:rsidR="00D14571" w:rsidRDefault="00D14571" w:rsidP="00E44DB0">
            <w:pPr>
              <w:pStyle w:val="TableText"/>
              <w:keepNext/>
              <w:keepLines/>
            </w:pPr>
            <w:r w:rsidRPr="00FD06F7">
              <w:t>M</w:t>
            </w:r>
            <w:r>
              <w:t>ellemstor</w:t>
            </w:r>
            <w:r w:rsidRPr="00FD06F7">
              <w:t xml:space="preserve"> personbil (</w:t>
            </w:r>
            <w:r>
              <w:t>C</w:t>
            </w:r>
            <w:r w:rsidRPr="00FD06F7">
              <w:t xml:space="preserve"> segment), benzin</w:t>
            </w:r>
          </w:p>
        </w:tc>
        <w:tc>
          <w:tcPr>
            <w:tcW w:w="1417" w:type="dxa"/>
          </w:tcPr>
          <w:p w14:paraId="5BFCF952" w14:textId="77777777" w:rsidR="00D14571" w:rsidRDefault="00D14571" w:rsidP="00E44DB0">
            <w:pPr>
              <w:pStyle w:val="TableText"/>
              <w:keepNext/>
              <w:keepLines/>
              <w:jc w:val="right"/>
              <w:cnfStyle w:val="000000100000" w:firstRow="0" w:lastRow="0" w:firstColumn="0" w:lastColumn="0" w:oddVBand="0" w:evenVBand="0" w:oddHBand="1" w:evenHBand="0" w:firstRowFirstColumn="0" w:firstRowLastColumn="0" w:lastRowFirstColumn="0" w:lastRowLastColumn="0"/>
            </w:pPr>
            <w:r w:rsidRPr="009A71A3">
              <w:t>0,148022795</w:t>
            </w:r>
          </w:p>
        </w:tc>
        <w:tc>
          <w:tcPr>
            <w:tcW w:w="1417" w:type="dxa"/>
          </w:tcPr>
          <w:p w14:paraId="12F59A34" w14:textId="77777777" w:rsidR="00D14571" w:rsidRDefault="00D14571" w:rsidP="00E44DB0">
            <w:pPr>
              <w:pStyle w:val="TableText"/>
              <w:keepNext/>
              <w:keepLines/>
              <w:jc w:val="right"/>
              <w:cnfStyle w:val="000000100000" w:firstRow="0" w:lastRow="0" w:firstColumn="0" w:lastColumn="0" w:oddVBand="0" w:evenVBand="0" w:oddHBand="1" w:evenHBand="0" w:firstRowFirstColumn="0" w:firstRowLastColumn="0" w:lastRowFirstColumn="0" w:lastRowLastColumn="0"/>
            </w:pPr>
            <w:r w:rsidRPr="009A71A3">
              <w:t>0,040953602</w:t>
            </w:r>
          </w:p>
        </w:tc>
      </w:tr>
      <w:tr w:rsidR="00D14571" w14:paraId="322ECEE0" w14:textId="77777777" w:rsidTr="00412A43">
        <w:tc>
          <w:tcPr>
            <w:cnfStyle w:val="001000000000" w:firstRow="0" w:lastRow="0" w:firstColumn="1" w:lastColumn="0" w:oddVBand="0" w:evenVBand="0" w:oddHBand="0" w:evenHBand="0" w:firstRowFirstColumn="0" w:firstRowLastColumn="0" w:lastRowFirstColumn="0" w:lastRowLastColumn="0"/>
            <w:tcW w:w="3969" w:type="dxa"/>
          </w:tcPr>
          <w:p w14:paraId="1B3DEFFE" w14:textId="77777777" w:rsidR="00D14571" w:rsidRDefault="00D14571" w:rsidP="00E44DB0">
            <w:pPr>
              <w:pStyle w:val="TableText"/>
              <w:keepNext/>
              <w:keepLines/>
            </w:pPr>
            <w:r>
              <w:t>Stor</w:t>
            </w:r>
            <w:r w:rsidRPr="00FD06F7">
              <w:t xml:space="preserve"> personbil (</w:t>
            </w:r>
            <w:r>
              <w:t>D</w:t>
            </w:r>
            <w:r w:rsidRPr="00FD06F7">
              <w:t xml:space="preserve"> segment), benzin</w:t>
            </w:r>
          </w:p>
        </w:tc>
        <w:tc>
          <w:tcPr>
            <w:tcW w:w="1417" w:type="dxa"/>
          </w:tcPr>
          <w:p w14:paraId="322C9327" w14:textId="77777777" w:rsidR="00D14571" w:rsidRDefault="00D14571" w:rsidP="00E44DB0">
            <w:pPr>
              <w:pStyle w:val="TableText"/>
              <w:keepNext/>
              <w:keepLines/>
              <w:jc w:val="right"/>
              <w:cnfStyle w:val="000000000000" w:firstRow="0" w:lastRow="0" w:firstColumn="0" w:lastColumn="0" w:oddVBand="0" w:evenVBand="0" w:oddHBand="0" w:evenHBand="0" w:firstRowFirstColumn="0" w:firstRowLastColumn="0" w:lastRowFirstColumn="0" w:lastRowLastColumn="0"/>
            </w:pPr>
            <w:r w:rsidRPr="009A71A3">
              <w:t>0,166562697</w:t>
            </w:r>
          </w:p>
        </w:tc>
        <w:tc>
          <w:tcPr>
            <w:tcW w:w="1417" w:type="dxa"/>
          </w:tcPr>
          <w:p w14:paraId="73161BA0" w14:textId="77777777" w:rsidR="00D14571" w:rsidRDefault="00D14571" w:rsidP="00E44DB0">
            <w:pPr>
              <w:pStyle w:val="TableText"/>
              <w:keepNext/>
              <w:keepLines/>
              <w:jc w:val="right"/>
              <w:cnfStyle w:val="000000000000" w:firstRow="0" w:lastRow="0" w:firstColumn="0" w:lastColumn="0" w:oddVBand="0" w:evenVBand="0" w:oddHBand="0" w:evenHBand="0" w:firstRowFirstColumn="0" w:firstRowLastColumn="0" w:lastRowFirstColumn="0" w:lastRowLastColumn="0"/>
            </w:pPr>
            <w:r w:rsidRPr="009A71A3">
              <w:t>0,062583487</w:t>
            </w:r>
          </w:p>
        </w:tc>
      </w:tr>
    </w:tbl>
    <w:p w14:paraId="48C323B1" w14:textId="77777777" w:rsidR="00D14571" w:rsidRDefault="00D14571" w:rsidP="00973E96">
      <w:pPr>
        <w:pStyle w:val="Caption"/>
      </w:pPr>
      <w:bookmarkStart w:id="29" w:name="_Hlk85733216"/>
      <w:r>
        <w:t xml:space="preserve">Note: Koefficienten α </w:t>
      </w:r>
      <w:bookmarkStart w:id="30" w:name="_Hlk85733026"/>
      <w:r>
        <w:t xml:space="preserve">er baseret på </w:t>
      </w:r>
      <w:bookmarkEnd w:id="30"/>
      <w:r>
        <w:t xml:space="preserve">servicekontrakt første år ex moms, mens koefficienten β </w:t>
      </w:r>
      <w:r w:rsidRPr="00FB21C0">
        <w:t>er baseret på</w:t>
      </w:r>
      <w:r>
        <w:t xml:space="preserve"> forlængelse af service-kontrakt ex moms</w:t>
      </w:r>
    </w:p>
    <w:bookmarkEnd w:id="29"/>
    <w:p w14:paraId="013D1F9C" w14:textId="77777777" w:rsidR="00D14571" w:rsidRDefault="00D14571" w:rsidP="00D14571">
      <w:pPr>
        <w:pStyle w:val="BodyText"/>
      </w:pPr>
    </w:p>
    <w:p w14:paraId="20F26323" w14:textId="4F876872" w:rsidR="00D14571" w:rsidRDefault="00D14571" w:rsidP="00D14571">
      <w:pPr>
        <w:pStyle w:val="Caption"/>
        <w:keepNext/>
        <w:keepLines/>
      </w:pPr>
      <w:r>
        <w:lastRenderedPageBreak/>
        <w:t xml:space="preserve">Tabel </w:t>
      </w:r>
      <w:r w:rsidR="009A42BC">
        <w:fldChar w:fldCharType="begin"/>
      </w:r>
      <w:r w:rsidR="009A42BC">
        <w:instrText xml:space="preserve"> STYLEREF 1 \s </w:instrText>
      </w:r>
      <w:r w:rsidR="009A42BC">
        <w:fldChar w:fldCharType="separate"/>
      </w:r>
      <w:r>
        <w:rPr>
          <w:noProof/>
        </w:rPr>
        <w:t>5</w:t>
      </w:r>
      <w:r w:rsidR="009A42BC">
        <w:rPr>
          <w:noProof/>
        </w:rPr>
        <w:fldChar w:fldCharType="end"/>
      </w:r>
      <w:r>
        <w:noBreakHyphen/>
      </w:r>
      <w:r w:rsidR="009A42BC">
        <w:fldChar w:fldCharType="begin"/>
      </w:r>
      <w:r w:rsidR="009A42BC">
        <w:instrText xml:space="preserve"> SEQ Tabel \* ARABIC \s 1 </w:instrText>
      </w:r>
      <w:r w:rsidR="009A42BC">
        <w:fldChar w:fldCharType="separate"/>
      </w:r>
      <w:r>
        <w:rPr>
          <w:noProof/>
        </w:rPr>
        <w:t>7</w:t>
      </w:r>
      <w:r w:rsidR="009A42BC">
        <w:rPr>
          <w:noProof/>
        </w:rPr>
        <w:fldChar w:fldCharType="end"/>
      </w:r>
      <w:r>
        <w:tab/>
        <w:t>K</w:t>
      </w:r>
      <w:r w:rsidRPr="00A118B0">
        <w:t xml:space="preserve">oefficienter til omkostningsfunktion for </w:t>
      </w:r>
      <w:r>
        <w:t>diesel</w:t>
      </w:r>
      <w:r w:rsidRPr="00A118B0">
        <w:t xml:space="preserve"> personbiler</w:t>
      </w:r>
    </w:p>
    <w:tbl>
      <w:tblPr>
        <w:tblStyle w:val="GridTable5Dark-Accent31"/>
        <w:tblW w:w="0" w:type="auto"/>
        <w:tblLook w:val="04A0" w:firstRow="1" w:lastRow="0" w:firstColumn="1" w:lastColumn="0" w:noHBand="0" w:noVBand="1"/>
      </w:tblPr>
      <w:tblGrid>
        <w:gridCol w:w="3969"/>
        <w:gridCol w:w="1417"/>
        <w:gridCol w:w="1417"/>
      </w:tblGrid>
      <w:tr w:rsidR="00D14571" w14:paraId="085071DE" w14:textId="77777777" w:rsidTr="00412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DD209CA" w14:textId="77777777" w:rsidR="00D14571" w:rsidRPr="0020543F" w:rsidRDefault="00D14571" w:rsidP="00E44DB0">
            <w:pPr>
              <w:pStyle w:val="TableText"/>
              <w:keepNext/>
              <w:keepLines/>
              <w:rPr>
                <w:b w:val="0"/>
                <w:bCs w:val="0"/>
              </w:rPr>
            </w:pPr>
            <w:r w:rsidRPr="0020543F">
              <w:t>Segment og drivmiddel</w:t>
            </w:r>
          </w:p>
        </w:tc>
        <w:tc>
          <w:tcPr>
            <w:tcW w:w="1417" w:type="dxa"/>
          </w:tcPr>
          <w:p w14:paraId="4DCE41B8" w14:textId="77777777" w:rsidR="00D14571" w:rsidRPr="00FB21C0" w:rsidRDefault="00D14571" w:rsidP="00E44DB0">
            <w:pPr>
              <w:pStyle w:val="TableText"/>
              <w:keepNext/>
              <w:keepLines/>
              <w:jc w:val="center"/>
              <w:cnfStyle w:val="100000000000" w:firstRow="1" w:lastRow="0" w:firstColumn="0" w:lastColumn="0" w:oddVBand="0" w:evenVBand="0" w:oddHBand="0" w:evenHBand="0" w:firstRowFirstColumn="0" w:firstRowLastColumn="0" w:lastRowFirstColumn="0" w:lastRowLastColumn="0"/>
              <w:rPr>
                <w:rFonts w:ascii="Cambria Math" w:hAnsi="Cambria Math"/>
                <w:b w:val="0"/>
                <w:bCs w:val="0"/>
              </w:rPr>
            </w:pPr>
            <w:r w:rsidRPr="0020543F">
              <w:t xml:space="preserve">Koefficient </w:t>
            </w:r>
            <w:r w:rsidRPr="0020543F">
              <w:rPr>
                <w:rFonts w:ascii="Cambria Math" w:hAnsi="Cambria Math"/>
              </w:rPr>
              <w:t>α</w:t>
            </w:r>
          </w:p>
          <w:p w14:paraId="7CBBFBEE" w14:textId="77777777" w:rsidR="00D14571" w:rsidRPr="0020543F" w:rsidRDefault="00D14571" w:rsidP="00E44DB0">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bCs w:val="0"/>
              </w:rPr>
            </w:pPr>
            <w:r w:rsidRPr="00C27824">
              <w:t>[kr. pr. km]</w:t>
            </w:r>
          </w:p>
        </w:tc>
        <w:tc>
          <w:tcPr>
            <w:tcW w:w="1417" w:type="dxa"/>
          </w:tcPr>
          <w:p w14:paraId="52BCD7F0" w14:textId="77777777" w:rsidR="00D14571" w:rsidRDefault="00D14571" w:rsidP="00E44DB0">
            <w:pPr>
              <w:pStyle w:val="TableText"/>
              <w:keepNext/>
              <w:keepLines/>
              <w:jc w:val="center"/>
              <w:cnfStyle w:val="100000000000" w:firstRow="1" w:lastRow="0" w:firstColumn="0" w:lastColumn="0" w:oddVBand="0" w:evenVBand="0" w:oddHBand="0" w:evenHBand="0" w:firstRowFirstColumn="0" w:firstRowLastColumn="0" w:lastRowFirstColumn="0" w:lastRowLastColumn="0"/>
              <w:rPr>
                <w:rFonts w:ascii="Cambria Math" w:hAnsi="Cambria Math"/>
                <w:b w:val="0"/>
                <w:bCs w:val="0"/>
              </w:rPr>
            </w:pPr>
            <w:r w:rsidRPr="0020543F">
              <w:t xml:space="preserve">Koefficient </w:t>
            </w:r>
            <w:r w:rsidRPr="0020543F">
              <w:rPr>
                <w:rFonts w:ascii="Cambria Math" w:hAnsi="Cambria Math"/>
              </w:rPr>
              <w:t>β</w:t>
            </w:r>
          </w:p>
          <w:p w14:paraId="31B50368" w14:textId="77777777" w:rsidR="00D14571" w:rsidRPr="0020543F" w:rsidRDefault="00D14571" w:rsidP="00E44DB0">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bCs w:val="0"/>
              </w:rPr>
            </w:pPr>
            <w:r w:rsidRPr="00FB21C0">
              <w:t xml:space="preserve">[kr. pr. km pr. år] </w:t>
            </w:r>
          </w:p>
        </w:tc>
      </w:tr>
      <w:tr w:rsidR="00D14571" w14:paraId="2F93264C" w14:textId="77777777" w:rsidTr="0041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12D1743" w14:textId="77777777" w:rsidR="00D14571" w:rsidRDefault="00D14571" w:rsidP="00E44DB0">
            <w:pPr>
              <w:pStyle w:val="TableText"/>
              <w:keepNext/>
              <w:keepLines/>
            </w:pPr>
            <w:r>
              <w:t>Lille</w:t>
            </w:r>
            <w:r w:rsidRPr="00FD06F7">
              <w:t xml:space="preserve"> personbil (</w:t>
            </w:r>
            <w:r>
              <w:t>B</w:t>
            </w:r>
            <w:r w:rsidRPr="00FD06F7">
              <w:t xml:space="preserve"> segment), </w:t>
            </w:r>
            <w:r>
              <w:t>diesel</w:t>
            </w:r>
          </w:p>
        </w:tc>
        <w:tc>
          <w:tcPr>
            <w:tcW w:w="1417" w:type="dxa"/>
          </w:tcPr>
          <w:p w14:paraId="09E20F01" w14:textId="77777777" w:rsidR="00D14571" w:rsidRDefault="00D14571" w:rsidP="00E44DB0">
            <w:pPr>
              <w:pStyle w:val="TableText"/>
              <w:keepNext/>
              <w:keepLines/>
              <w:jc w:val="right"/>
              <w:cnfStyle w:val="000000100000" w:firstRow="0" w:lastRow="0" w:firstColumn="0" w:lastColumn="0" w:oddVBand="0" w:evenVBand="0" w:oddHBand="1" w:evenHBand="0" w:firstRowFirstColumn="0" w:firstRowLastColumn="0" w:lastRowFirstColumn="0" w:lastRowLastColumn="0"/>
            </w:pPr>
            <w:r w:rsidRPr="007D7BCB">
              <w:t>0,140077536</w:t>
            </w:r>
          </w:p>
        </w:tc>
        <w:tc>
          <w:tcPr>
            <w:tcW w:w="1417" w:type="dxa"/>
          </w:tcPr>
          <w:p w14:paraId="40664C8A" w14:textId="77777777" w:rsidR="00D14571" w:rsidRDefault="00D14571" w:rsidP="00E44DB0">
            <w:pPr>
              <w:pStyle w:val="TableText"/>
              <w:keepNext/>
              <w:keepLines/>
              <w:jc w:val="right"/>
              <w:cnfStyle w:val="000000100000" w:firstRow="0" w:lastRow="0" w:firstColumn="0" w:lastColumn="0" w:oddVBand="0" w:evenVBand="0" w:oddHBand="1" w:evenHBand="0" w:firstRowFirstColumn="0" w:firstRowLastColumn="0" w:lastRowFirstColumn="0" w:lastRowLastColumn="0"/>
            </w:pPr>
            <w:r w:rsidRPr="007D7BCB">
              <w:t>0,031684132</w:t>
            </w:r>
          </w:p>
        </w:tc>
      </w:tr>
      <w:tr w:rsidR="00D14571" w14:paraId="4C07F06C" w14:textId="77777777" w:rsidTr="00412A43">
        <w:tc>
          <w:tcPr>
            <w:cnfStyle w:val="001000000000" w:firstRow="0" w:lastRow="0" w:firstColumn="1" w:lastColumn="0" w:oddVBand="0" w:evenVBand="0" w:oddHBand="0" w:evenHBand="0" w:firstRowFirstColumn="0" w:firstRowLastColumn="0" w:lastRowFirstColumn="0" w:lastRowLastColumn="0"/>
            <w:tcW w:w="3969" w:type="dxa"/>
          </w:tcPr>
          <w:p w14:paraId="3B30F51F" w14:textId="77777777" w:rsidR="00D14571" w:rsidRDefault="00D14571" w:rsidP="00E44DB0">
            <w:pPr>
              <w:pStyle w:val="TableText"/>
              <w:keepNext/>
              <w:keepLines/>
            </w:pPr>
            <w:r w:rsidRPr="00FD06F7">
              <w:t>M</w:t>
            </w:r>
            <w:r>
              <w:t>ellemstor</w:t>
            </w:r>
            <w:r w:rsidRPr="00FD06F7">
              <w:t xml:space="preserve"> personbil (</w:t>
            </w:r>
            <w:r>
              <w:t>C</w:t>
            </w:r>
            <w:r w:rsidRPr="00FD06F7">
              <w:t xml:space="preserve"> segment), diesel</w:t>
            </w:r>
          </w:p>
        </w:tc>
        <w:tc>
          <w:tcPr>
            <w:tcW w:w="1417" w:type="dxa"/>
          </w:tcPr>
          <w:p w14:paraId="603872FD" w14:textId="77777777" w:rsidR="00D14571" w:rsidRDefault="00D14571" w:rsidP="00E44DB0">
            <w:pPr>
              <w:pStyle w:val="TableText"/>
              <w:keepNext/>
              <w:keepLines/>
              <w:jc w:val="right"/>
              <w:cnfStyle w:val="000000000000" w:firstRow="0" w:lastRow="0" w:firstColumn="0" w:lastColumn="0" w:oddVBand="0" w:evenVBand="0" w:oddHBand="0" w:evenHBand="0" w:firstRowFirstColumn="0" w:firstRowLastColumn="0" w:lastRowFirstColumn="0" w:lastRowLastColumn="0"/>
            </w:pPr>
            <w:r w:rsidRPr="007D7BCB">
              <w:t>0,154092398</w:t>
            </w:r>
          </w:p>
        </w:tc>
        <w:tc>
          <w:tcPr>
            <w:tcW w:w="1417" w:type="dxa"/>
          </w:tcPr>
          <w:p w14:paraId="70A02DBF" w14:textId="77777777" w:rsidR="00D14571" w:rsidRDefault="00D14571" w:rsidP="00E44DB0">
            <w:pPr>
              <w:pStyle w:val="TableText"/>
              <w:keepNext/>
              <w:keepLines/>
              <w:jc w:val="right"/>
              <w:cnfStyle w:val="000000000000" w:firstRow="0" w:lastRow="0" w:firstColumn="0" w:lastColumn="0" w:oddVBand="0" w:evenVBand="0" w:oddHBand="0" w:evenHBand="0" w:firstRowFirstColumn="0" w:firstRowLastColumn="0" w:lastRowFirstColumn="0" w:lastRowLastColumn="0"/>
            </w:pPr>
            <w:r w:rsidRPr="007D7BCB">
              <w:t>0,048034805</w:t>
            </w:r>
          </w:p>
        </w:tc>
      </w:tr>
      <w:tr w:rsidR="00D14571" w14:paraId="2257F02A" w14:textId="77777777" w:rsidTr="0041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679F38C6" w14:textId="77777777" w:rsidR="00D14571" w:rsidRDefault="00D14571" w:rsidP="00E44DB0">
            <w:pPr>
              <w:pStyle w:val="TableText"/>
              <w:keepNext/>
              <w:keepLines/>
            </w:pPr>
            <w:r>
              <w:t>Stor</w:t>
            </w:r>
            <w:r w:rsidRPr="00FD06F7">
              <w:t xml:space="preserve"> personbil (</w:t>
            </w:r>
            <w:r>
              <w:t>D</w:t>
            </w:r>
            <w:r w:rsidRPr="00FD06F7">
              <w:t xml:space="preserve"> segment), diesel</w:t>
            </w:r>
          </w:p>
        </w:tc>
        <w:tc>
          <w:tcPr>
            <w:tcW w:w="1417" w:type="dxa"/>
          </w:tcPr>
          <w:p w14:paraId="6251E017" w14:textId="77777777" w:rsidR="00D14571" w:rsidRDefault="00D14571" w:rsidP="00E44DB0">
            <w:pPr>
              <w:pStyle w:val="TableText"/>
              <w:keepNext/>
              <w:keepLines/>
              <w:jc w:val="right"/>
              <w:cnfStyle w:val="000000100000" w:firstRow="0" w:lastRow="0" w:firstColumn="0" w:lastColumn="0" w:oddVBand="0" w:evenVBand="0" w:oddHBand="1" w:evenHBand="0" w:firstRowFirstColumn="0" w:firstRowLastColumn="0" w:lastRowFirstColumn="0" w:lastRowLastColumn="0"/>
            </w:pPr>
            <w:r w:rsidRPr="007D7BCB">
              <w:t>0,17100091</w:t>
            </w:r>
          </w:p>
        </w:tc>
        <w:tc>
          <w:tcPr>
            <w:tcW w:w="1417" w:type="dxa"/>
          </w:tcPr>
          <w:p w14:paraId="7A0EBC3A" w14:textId="77777777" w:rsidR="00D14571" w:rsidRDefault="00D14571" w:rsidP="00E44DB0">
            <w:pPr>
              <w:pStyle w:val="TableText"/>
              <w:keepNext/>
              <w:keepLines/>
              <w:jc w:val="right"/>
              <w:cnfStyle w:val="000000100000" w:firstRow="0" w:lastRow="0" w:firstColumn="0" w:lastColumn="0" w:oddVBand="0" w:evenVBand="0" w:oddHBand="1" w:evenHBand="0" w:firstRowFirstColumn="0" w:firstRowLastColumn="0" w:lastRowFirstColumn="0" w:lastRowLastColumn="0"/>
            </w:pPr>
            <w:r w:rsidRPr="007D7BCB">
              <w:t>0,067761403</w:t>
            </w:r>
          </w:p>
        </w:tc>
      </w:tr>
    </w:tbl>
    <w:p w14:paraId="22A52EBC" w14:textId="77777777" w:rsidR="00D14571" w:rsidRPr="00FB21C0" w:rsidRDefault="00D14571" w:rsidP="00973E96">
      <w:pPr>
        <w:pStyle w:val="Caption"/>
      </w:pPr>
      <w:r w:rsidRPr="00FB21C0">
        <w:t>Note: Koefficienten α er baseret på servicekontrakt første år ex moms, mens koefficienten β er baseret på forlængelse af service-kontrakt ex moms</w:t>
      </w:r>
    </w:p>
    <w:p w14:paraId="35FEB3F8" w14:textId="77777777" w:rsidR="00D14571" w:rsidRPr="006B6321" w:rsidRDefault="00D14571" w:rsidP="00D14571">
      <w:pPr>
        <w:pStyle w:val="BodyText"/>
      </w:pPr>
    </w:p>
    <w:p w14:paraId="074B0A7D" w14:textId="77777777" w:rsidR="00D14571" w:rsidRPr="006B6321" w:rsidRDefault="00D14571" w:rsidP="00D14571">
      <w:pPr>
        <w:pStyle w:val="MarginFrame"/>
        <w:framePr w:wrap="around"/>
      </w:pPr>
      <w:r w:rsidRPr="006B6321">
        <w:t>El- og pluginhybrid-biler</w:t>
      </w:r>
    </w:p>
    <w:p w14:paraId="64DE0545" w14:textId="69AE08AE" w:rsidR="00D14571" w:rsidRPr="00AB3580" w:rsidRDefault="00D14571" w:rsidP="00D14571">
      <w:pPr>
        <w:pStyle w:val="BodyText"/>
      </w:pPr>
      <w:r w:rsidRPr="00AB3580">
        <w:t>Omkostninger til service, reparation og vedligehold for el- og pluginhybridbiler tager udgangspunkt i de forudsætninger</w:t>
      </w:r>
      <w:r>
        <w:t>,</w:t>
      </w:r>
      <w:r w:rsidRPr="00AB3580">
        <w:t xml:space="preserve"> der blev lagt til grund for analyserne fra Kommissionen for grøn omstilling af personbiler. Kommissionen refererer i deres analyser således til undersøgelser</w:t>
      </w:r>
      <w:r w:rsidRPr="00AB3580">
        <w:rPr>
          <w:rStyle w:val="FootnoteReference"/>
        </w:rPr>
        <w:footnoteReference w:id="17"/>
      </w:r>
      <w:r w:rsidRPr="00AB3580">
        <w:t>, der viser</w:t>
      </w:r>
      <w:r>
        <w:t>,</w:t>
      </w:r>
      <w:r w:rsidRPr="00AB3580">
        <w:t xml:space="preserve"> at omkostninger til service, reparationen og vedligehold af elbiler skønsmæssigt vil beløbe sig til mellem 40 til 50 procent af omkostningerne for tilsvarende konventionelle biler, mens omkostningerne til service, reparationen og vedligehold af pluginhybridbiler vil beløbe sig til 100 procent eller mere af omkostningerne for tilsvarende konventionelle biler.</w:t>
      </w:r>
    </w:p>
    <w:p w14:paraId="347D1A2F" w14:textId="1B903776" w:rsidR="00D14571" w:rsidRPr="00D70571" w:rsidRDefault="00D14571" w:rsidP="00D14571">
      <w:pPr>
        <w:pStyle w:val="BodyText"/>
      </w:pPr>
      <w:r w:rsidRPr="00AB3580">
        <w:t>På den baggrund fastsætter vi omkostningerne til service, reparationen og vedligehold for elbiler til 50 procent af omkostningerne for tilsvarende benzinbiler, mens vi for pluginhybridbiler fastsætter dem til 110 procent af omkostningerne for tilsvarende benzinbiler.</w:t>
      </w:r>
    </w:p>
    <w:p w14:paraId="3E62490D" w14:textId="77777777" w:rsidR="00D14571" w:rsidRPr="00D70571" w:rsidRDefault="00D14571" w:rsidP="00D14571">
      <w:pPr>
        <w:pStyle w:val="Heading4"/>
      </w:pPr>
      <w:r w:rsidRPr="00D70571">
        <w:t>Varebiler</w:t>
      </w:r>
    </w:p>
    <w:p w14:paraId="5B99589B" w14:textId="77777777" w:rsidR="00D14571" w:rsidRPr="00D70571" w:rsidRDefault="00D14571" w:rsidP="00D14571">
      <w:pPr>
        <w:pStyle w:val="MarginFrame"/>
        <w:framePr w:wrap="around"/>
      </w:pPr>
      <w:r w:rsidRPr="00D70571">
        <w:t>Konventionelle varebiler</w:t>
      </w:r>
    </w:p>
    <w:p w14:paraId="24E906D4" w14:textId="41D9F8EC" w:rsidR="00D14571" w:rsidRDefault="00D14571" w:rsidP="00D14571">
      <w:pPr>
        <w:pStyle w:val="BodyText"/>
      </w:pPr>
      <w:r w:rsidRPr="00D70571">
        <w:t xml:space="preserve">For benzin og diesel varebiler tages udgangspunkt i samme omkostningsfunktioner som for henholdsvis benzin- og diesel personbiler, </w:t>
      </w:r>
      <w:r w:rsidRPr="00D14571">
        <w:rPr>
          <w:u w:val="single"/>
        </w:rPr>
        <w:t>eksklusiv</w:t>
      </w:r>
      <w:r>
        <w:rPr>
          <w:u w:val="single"/>
        </w:rPr>
        <w:t>e</w:t>
      </w:r>
      <w:r w:rsidRPr="00D14571">
        <w:rPr>
          <w:u w:val="single"/>
        </w:rPr>
        <w:t xml:space="preserve"> moms</w:t>
      </w:r>
      <w:r w:rsidRPr="00D70571">
        <w:t>, idet omkostningerne for</w:t>
      </w:r>
      <w:r>
        <w:t xml:space="preserve"> de konventionelle varebiler approksimeres ved de konventionelle personbiler, der antages at ligne varebil-segmenterne mest. Der er således ikke i alle tilfælde en en-til-en sammenhæng mellem personbils- og varebilssegmenter.</w:t>
      </w:r>
    </w:p>
    <w:p w14:paraId="1AB7C8A9" w14:textId="152AA919" w:rsidR="00D14571" w:rsidRDefault="00D14571" w:rsidP="00D14571">
      <w:pPr>
        <w:pStyle w:val="Caption"/>
        <w:keepNext/>
        <w:keepLines/>
      </w:pPr>
      <w:r>
        <w:t xml:space="preserve">Tabel </w:t>
      </w:r>
      <w:r w:rsidR="009A42BC">
        <w:fldChar w:fldCharType="begin"/>
      </w:r>
      <w:r w:rsidR="009A42BC">
        <w:instrText xml:space="preserve"> STYLEREF 1 \s </w:instrText>
      </w:r>
      <w:r w:rsidR="009A42BC">
        <w:fldChar w:fldCharType="separate"/>
      </w:r>
      <w:r>
        <w:rPr>
          <w:noProof/>
        </w:rPr>
        <w:t>5</w:t>
      </w:r>
      <w:r w:rsidR="009A42BC">
        <w:rPr>
          <w:noProof/>
        </w:rPr>
        <w:fldChar w:fldCharType="end"/>
      </w:r>
      <w:r>
        <w:noBreakHyphen/>
      </w:r>
      <w:r w:rsidR="009A42BC">
        <w:fldChar w:fldCharType="begin"/>
      </w:r>
      <w:r w:rsidR="009A42BC">
        <w:instrText xml:space="preserve"> SEQ Tab</w:instrText>
      </w:r>
      <w:r w:rsidR="009A42BC">
        <w:instrText xml:space="preserve">el \* ARABIC \s 1 </w:instrText>
      </w:r>
      <w:r w:rsidR="009A42BC">
        <w:fldChar w:fldCharType="separate"/>
      </w:r>
      <w:r>
        <w:rPr>
          <w:noProof/>
        </w:rPr>
        <w:t>8</w:t>
      </w:r>
      <w:r w:rsidR="009A42BC">
        <w:rPr>
          <w:noProof/>
        </w:rPr>
        <w:fldChar w:fldCharType="end"/>
      </w:r>
      <w:r>
        <w:tab/>
        <w:t>Koefficienter til omkostningsfunktion for benzin varebiler</w:t>
      </w:r>
    </w:p>
    <w:tbl>
      <w:tblPr>
        <w:tblStyle w:val="GridTable5Dark-Accent31"/>
        <w:tblW w:w="0" w:type="auto"/>
        <w:tblLook w:val="04A0" w:firstRow="1" w:lastRow="0" w:firstColumn="1" w:lastColumn="0" w:noHBand="0" w:noVBand="1"/>
      </w:tblPr>
      <w:tblGrid>
        <w:gridCol w:w="3969"/>
        <w:gridCol w:w="1417"/>
        <w:gridCol w:w="1417"/>
      </w:tblGrid>
      <w:tr w:rsidR="00D14571" w14:paraId="252CBD33" w14:textId="77777777" w:rsidTr="00412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799C67A" w14:textId="77777777" w:rsidR="00D14571" w:rsidRPr="0020543F" w:rsidRDefault="00D14571" w:rsidP="00E44DB0">
            <w:pPr>
              <w:pStyle w:val="TableText"/>
              <w:keepNext/>
              <w:keepLines/>
              <w:rPr>
                <w:b w:val="0"/>
                <w:bCs w:val="0"/>
              </w:rPr>
            </w:pPr>
            <w:r w:rsidRPr="0020543F">
              <w:t>Segment og drivmiddel</w:t>
            </w:r>
          </w:p>
        </w:tc>
        <w:tc>
          <w:tcPr>
            <w:tcW w:w="1417" w:type="dxa"/>
          </w:tcPr>
          <w:p w14:paraId="015FE9F3" w14:textId="77777777" w:rsidR="00D14571" w:rsidRPr="00FB21C0" w:rsidRDefault="00D14571" w:rsidP="00E44DB0">
            <w:pPr>
              <w:pStyle w:val="TableText"/>
              <w:keepNext/>
              <w:keepLines/>
              <w:jc w:val="center"/>
              <w:cnfStyle w:val="100000000000" w:firstRow="1" w:lastRow="0" w:firstColumn="0" w:lastColumn="0" w:oddVBand="0" w:evenVBand="0" w:oddHBand="0" w:evenHBand="0" w:firstRowFirstColumn="0" w:firstRowLastColumn="0" w:lastRowFirstColumn="0" w:lastRowLastColumn="0"/>
              <w:rPr>
                <w:rFonts w:ascii="Cambria Math" w:hAnsi="Cambria Math"/>
                <w:b w:val="0"/>
                <w:bCs w:val="0"/>
              </w:rPr>
            </w:pPr>
            <w:r w:rsidRPr="0020543F">
              <w:t xml:space="preserve">Koefficient </w:t>
            </w:r>
            <w:r w:rsidRPr="0020543F">
              <w:rPr>
                <w:rFonts w:ascii="Cambria Math" w:hAnsi="Cambria Math"/>
              </w:rPr>
              <w:t>α</w:t>
            </w:r>
          </w:p>
          <w:p w14:paraId="579EC885" w14:textId="77777777" w:rsidR="00D14571" w:rsidRPr="0020543F" w:rsidRDefault="00D14571" w:rsidP="00E44DB0">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bCs w:val="0"/>
              </w:rPr>
            </w:pPr>
            <w:r w:rsidRPr="00C27824">
              <w:t>[kr. pr. km]</w:t>
            </w:r>
          </w:p>
        </w:tc>
        <w:tc>
          <w:tcPr>
            <w:tcW w:w="1417" w:type="dxa"/>
          </w:tcPr>
          <w:p w14:paraId="017F8DD5" w14:textId="77777777" w:rsidR="00D14571" w:rsidRDefault="00D14571" w:rsidP="00E44DB0">
            <w:pPr>
              <w:pStyle w:val="TableText"/>
              <w:keepNext/>
              <w:keepLines/>
              <w:jc w:val="center"/>
              <w:cnfStyle w:val="100000000000" w:firstRow="1" w:lastRow="0" w:firstColumn="0" w:lastColumn="0" w:oddVBand="0" w:evenVBand="0" w:oddHBand="0" w:evenHBand="0" w:firstRowFirstColumn="0" w:firstRowLastColumn="0" w:lastRowFirstColumn="0" w:lastRowLastColumn="0"/>
              <w:rPr>
                <w:rFonts w:ascii="Cambria Math" w:hAnsi="Cambria Math"/>
                <w:b w:val="0"/>
                <w:bCs w:val="0"/>
              </w:rPr>
            </w:pPr>
            <w:r w:rsidRPr="0020543F">
              <w:t xml:space="preserve">Koefficient </w:t>
            </w:r>
            <w:r w:rsidRPr="0020543F">
              <w:rPr>
                <w:rFonts w:ascii="Cambria Math" w:hAnsi="Cambria Math"/>
              </w:rPr>
              <w:t>β</w:t>
            </w:r>
          </w:p>
          <w:p w14:paraId="1570D875" w14:textId="77777777" w:rsidR="00D14571" w:rsidRPr="0020543F" w:rsidRDefault="00D14571" w:rsidP="00E44DB0">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bCs w:val="0"/>
              </w:rPr>
            </w:pPr>
            <w:r w:rsidRPr="00FB21C0">
              <w:t xml:space="preserve">[kr. pr. km pr. år] </w:t>
            </w:r>
          </w:p>
        </w:tc>
      </w:tr>
      <w:tr w:rsidR="00D14571" w14:paraId="64A55D31" w14:textId="77777777" w:rsidTr="0041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0631173" w14:textId="77777777" w:rsidR="00D14571" w:rsidRDefault="00D14571" w:rsidP="00E44DB0">
            <w:pPr>
              <w:pStyle w:val="TableText"/>
              <w:keepNext/>
              <w:keepLines/>
            </w:pPr>
            <w:r>
              <w:t>Lille</w:t>
            </w:r>
            <w:r w:rsidRPr="00FD06F7">
              <w:t xml:space="preserve"> </w:t>
            </w:r>
            <w:r>
              <w:t>varebil</w:t>
            </w:r>
            <w:r w:rsidRPr="00FD06F7">
              <w:t xml:space="preserve"> (</w:t>
            </w:r>
            <w:r>
              <w:t>B</w:t>
            </w:r>
            <w:r w:rsidRPr="00FD06F7">
              <w:t xml:space="preserve"> segment), benzin</w:t>
            </w:r>
          </w:p>
        </w:tc>
        <w:tc>
          <w:tcPr>
            <w:tcW w:w="1417" w:type="dxa"/>
          </w:tcPr>
          <w:p w14:paraId="33A148A6" w14:textId="77777777" w:rsidR="00D14571" w:rsidRDefault="00D14571" w:rsidP="00E44DB0">
            <w:pPr>
              <w:pStyle w:val="TableText"/>
              <w:keepNext/>
              <w:keepLines/>
              <w:jc w:val="right"/>
              <w:cnfStyle w:val="000000100000" w:firstRow="0" w:lastRow="0" w:firstColumn="0" w:lastColumn="0" w:oddVBand="0" w:evenVBand="0" w:oddHBand="1" w:evenHBand="0" w:firstRowFirstColumn="0" w:firstRowLastColumn="0" w:lastRowFirstColumn="0" w:lastRowLastColumn="0"/>
            </w:pPr>
            <w:r w:rsidRPr="009A71A3">
              <w:t>0,134903805</w:t>
            </w:r>
          </w:p>
        </w:tc>
        <w:tc>
          <w:tcPr>
            <w:tcW w:w="1417" w:type="dxa"/>
          </w:tcPr>
          <w:p w14:paraId="4D6CDE9F" w14:textId="77777777" w:rsidR="00D14571" w:rsidRDefault="00D14571" w:rsidP="00E44DB0">
            <w:pPr>
              <w:pStyle w:val="TableText"/>
              <w:keepNext/>
              <w:keepLines/>
              <w:jc w:val="right"/>
              <w:cnfStyle w:val="000000100000" w:firstRow="0" w:lastRow="0" w:firstColumn="0" w:lastColumn="0" w:oddVBand="0" w:evenVBand="0" w:oddHBand="1" w:evenHBand="0" w:firstRowFirstColumn="0" w:firstRowLastColumn="0" w:lastRowFirstColumn="0" w:lastRowLastColumn="0"/>
            </w:pPr>
            <w:r w:rsidRPr="009A71A3">
              <w:t>0,025648113</w:t>
            </w:r>
          </w:p>
        </w:tc>
      </w:tr>
      <w:tr w:rsidR="00D14571" w14:paraId="509C34A8" w14:textId="77777777" w:rsidTr="00412A43">
        <w:tc>
          <w:tcPr>
            <w:cnfStyle w:val="001000000000" w:firstRow="0" w:lastRow="0" w:firstColumn="1" w:lastColumn="0" w:oddVBand="0" w:evenVBand="0" w:oddHBand="0" w:evenHBand="0" w:firstRowFirstColumn="0" w:firstRowLastColumn="0" w:lastRowFirstColumn="0" w:lastRowLastColumn="0"/>
            <w:tcW w:w="3969" w:type="dxa"/>
          </w:tcPr>
          <w:p w14:paraId="36F4FC10" w14:textId="77777777" w:rsidR="00D14571" w:rsidRDefault="00D14571" w:rsidP="00E44DB0">
            <w:pPr>
              <w:pStyle w:val="TableText"/>
              <w:keepNext/>
              <w:keepLines/>
            </w:pPr>
            <w:r w:rsidRPr="00FD06F7">
              <w:t>M</w:t>
            </w:r>
            <w:r>
              <w:t>ellemstor</w:t>
            </w:r>
            <w:r w:rsidRPr="00FD06F7">
              <w:t xml:space="preserve"> </w:t>
            </w:r>
            <w:r>
              <w:t>varebil</w:t>
            </w:r>
            <w:r w:rsidRPr="00FD06F7">
              <w:t xml:space="preserve"> (</w:t>
            </w:r>
            <w:r>
              <w:t>C</w:t>
            </w:r>
            <w:r w:rsidRPr="00FD06F7">
              <w:t xml:space="preserve"> segment), benzin</w:t>
            </w:r>
          </w:p>
        </w:tc>
        <w:tc>
          <w:tcPr>
            <w:tcW w:w="1417" w:type="dxa"/>
          </w:tcPr>
          <w:p w14:paraId="6F76D4CA" w14:textId="77777777" w:rsidR="00D14571" w:rsidRDefault="00D14571" w:rsidP="00E44DB0">
            <w:pPr>
              <w:pStyle w:val="TableText"/>
              <w:keepNext/>
              <w:keepLines/>
              <w:jc w:val="right"/>
              <w:cnfStyle w:val="000000000000" w:firstRow="0" w:lastRow="0" w:firstColumn="0" w:lastColumn="0" w:oddVBand="0" w:evenVBand="0" w:oddHBand="0" w:evenHBand="0" w:firstRowFirstColumn="0" w:firstRowLastColumn="0" w:lastRowFirstColumn="0" w:lastRowLastColumn="0"/>
            </w:pPr>
            <w:r w:rsidRPr="009A71A3">
              <w:t>0,148022795</w:t>
            </w:r>
          </w:p>
        </w:tc>
        <w:tc>
          <w:tcPr>
            <w:tcW w:w="1417" w:type="dxa"/>
          </w:tcPr>
          <w:p w14:paraId="3CCE4790" w14:textId="77777777" w:rsidR="00D14571" w:rsidRDefault="00D14571" w:rsidP="00E44DB0">
            <w:pPr>
              <w:pStyle w:val="TableText"/>
              <w:keepNext/>
              <w:keepLines/>
              <w:jc w:val="right"/>
              <w:cnfStyle w:val="000000000000" w:firstRow="0" w:lastRow="0" w:firstColumn="0" w:lastColumn="0" w:oddVBand="0" w:evenVBand="0" w:oddHBand="0" w:evenHBand="0" w:firstRowFirstColumn="0" w:firstRowLastColumn="0" w:lastRowFirstColumn="0" w:lastRowLastColumn="0"/>
            </w:pPr>
            <w:r w:rsidRPr="009A71A3">
              <w:t>0,040953602</w:t>
            </w:r>
          </w:p>
        </w:tc>
      </w:tr>
      <w:tr w:rsidR="00D14571" w14:paraId="1D8B2E66" w14:textId="77777777" w:rsidTr="0041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39CE69A" w14:textId="77777777" w:rsidR="00D14571" w:rsidRDefault="00D14571" w:rsidP="00E44DB0">
            <w:pPr>
              <w:pStyle w:val="TableText"/>
              <w:keepNext/>
              <w:keepLines/>
            </w:pPr>
            <w:r>
              <w:t>Stor</w:t>
            </w:r>
            <w:r w:rsidRPr="00FD06F7">
              <w:t xml:space="preserve"> </w:t>
            </w:r>
            <w:r>
              <w:t>varebil</w:t>
            </w:r>
            <w:r w:rsidRPr="00FD06F7">
              <w:t xml:space="preserve"> (</w:t>
            </w:r>
            <w:r>
              <w:t>D</w:t>
            </w:r>
            <w:r w:rsidRPr="00FD06F7">
              <w:t xml:space="preserve"> segment), benzin</w:t>
            </w:r>
          </w:p>
        </w:tc>
        <w:tc>
          <w:tcPr>
            <w:tcW w:w="1417" w:type="dxa"/>
          </w:tcPr>
          <w:p w14:paraId="0547660F" w14:textId="77777777" w:rsidR="00D14571" w:rsidRDefault="00D14571" w:rsidP="00E44DB0">
            <w:pPr>
              <w:pStyle w:val="TableText"/>
              <w:keepNext/>
              <w:keepLines/>
              <w:jc w:val="right"/>
              <w:cnfStyle w:val="000000100000" w:firstRow="0" w:lastRow="0" w:firstColumn="0" w:lastColumn="0" w:oddVBand="0" w:evenVBand="0" w:oddHBand="1" w:evenHBand="0" w:firstRowFirstColumn="0" w:firstRowLastColumn="0" w:lastRowFirstColumn="0" w:lastRowLastColumn="0"/>
            </w:pPr>
            <w:r w:rsidRPr="009A71A3">
              <w:t>0,166562697</w:t>
            </w:r>
          </w:p>
        </w:tc>
        <w:tc>
          <w:tcPr>
            <w:tcW w:w="1417" w:type="dxa"/>
          </w:tcPr>
          <w:p w14:paraId="1F230533" w14:textId="77777777" w:rsidR="00D14571" w:rsidRDefault="00D14571" w:rsidP="00E44DB0">
            <w:pPr>
              <w:pStyle w:val="TableText"/>
              <w:keepNext/>
              <w:keepLines/>
              <w:jc w:val="right"/>
              <w:cnfStyle w:val="000000100000" w:firstRow="0" w:lastRow="0" w:firstColumn="0" w:lastColumn="0" w:oddVBand="0" w:evenVBand="0" w:oddHBand="1" w:evenHBand="0" w:firstRowFirstColumn="0" w:firstRowLastColumn="0" w:lastRowFirstColumn="0" w:lastRowLastColumn="0"/>
            </w:pPr>
            <w:r w:rsidRPr="009A71A3">
              <w:t>0,062583487</w:t>
            </w:r>
          </w:p>
        </w:tc>
      </w:tr>
    </w:tbl>
    <w:p w14:paraId="7F7FD3B8" w14:textId="77777777" w:rsidR="00D14571" w:rsidRPr="00FB21C0" w:rsidRDefault="00D14571" w:rsidP="00973E96">
      <w:pPr>
        <w:pStyle w:val="Caption"/>
      </w:pPr>
      <w:r w:rsidRPr="00FB21C0">
        <w:t>Note: Koefficienten α er baseret på servicekontrakt første år ex moms, mens koefficienten β er baseret på forlængelse af service-kontrakt ex moms</w:t>
      </w:r>
    </w:p>
    <w:p w14:paraId="65EA43C9" w14:textId="77777777" w:rsidR="00D14571" w:rsidRDefault="00D14571" w:rsidP="00D14571">
      <w:pPr>
        <w:pStyle w:val="BodyText"/>
      </w:pPr>
    </w:p>
    <w:p w14:paraId="67375F4B" w14:textId="31BF6548" w:rsidR="00D14571" w:rsidRDefault="00D14571" w:rsidP="00D14571">
      <w:pPr>
        <w:pStyle w:val="Caption"/>
        <w:keepNext/>
        <w:keepLines/>
      </w:pPr>
      <w:r>
        <w:t xml:space="preserve">Tabel </w:t>
      </w:r>
      <w:r w:rsidR="009A42BC">
        <w:fldChar w:fldCharType="begin"/>
      </w:r>
      <w:r w:rsidR="009A42BC">
        <w:instrText xml:space="preserve"> STYLEREF 1 \s </w:instrText>
      </w:r>
      <w:r w:rsidR="009A42BC">
        <w:fldChar w:fldCharType="separate"/>
      </w:r>
      <w:r>
        <w:rPr>
          <w:noProof/>
        </w:rPr>
        <w:t>5</w:t>
      </w:r>
      <w:r w:rsidR="009A42BC">
        <w:rPr>
          <w:noProof/>
        </w:rPr>
        <w:fldChar w:fldCharType="end"/>
      </w:r>
      <w:r>
        <w:noBreakHyphen/>
      </w:r>
      <w:r w:rsidR="009A42BC">
        <w:fldChar w:fldCharType="begin"/>
      </w:r>
      <w:r w:rsidR="009A42BC">
        <w:instrText xml:space="preserve"> SEQ Tabel \* ARABIC \s 1 </w:instrText>
      </w:r>
      <w:r w:rsidR="009A42BC">
        <w:fldChar w:fldCharType="separate"/>
      </w:r>
      <w:r>
        <w:rPr>
          <w:noProof/>
        </w:rPr>
        <w:t>9</w:t>
      </w:r>
      <w:r w:rsidR="009A42BC">
        <w:rPr>
          <w:noProof/>
        </w:rPr>
        <w:fldChar w:fldCharType="end"/>
      </w:r>
      <w:r>
        <w:tab/>
        <w:t>K</w:t>
      </w:r>
      <w:r w:rsidRPr="00A118B0">
        <w:t xml:space="preserve">oefficienter til omkostningsfunktion for </w:t>
      </w:r>
      <w:r>
        <w:t>diesel</w:t>
      </w:r>
      <w:r w:rsidRPr="00A118B0">
        <w:t xml:space="preserve"> </w:t>
      </w:r>
      <w:r>
        <w:t>varebil</w:t>
      </w:r>
      <w:r w:rsidRPr="00A118B0">
        <w:t>er</w:t>
      </w:r>
    </w:p>
    <w:tbl>
      <w:tblPr>
        <w:tblStyle w:val="GridTable5Dark-Accent31"/>
        <w:tblW w:w="0" w:type="auto"/>
        <w:tblLook w:val="04A0" w:firstRow="1" w:lastRow="0" w:firstColumn="1" w:lastColumn="0" w:noHBand="0" w:noVBand="1"/>
      </w:tblPr>
      <w:tblGrid>
        <w:gridCol w:w="3969"/>
        <w:gridCol w:w="1417"/>
        <w:gridCol w:w="1417"/>
      </w:tblGrid>
      <w:tr w:rsidR="00D14571" w14:paraId="091B348D" w14:textId="77777777" w:rsidTr="00412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24FA1F4" w14:textId="77777777" w:rsidR="00D14571" w:rsidRPr="0020543F" w:rsidRDefault="00D14571" w:rsidP="00E44DB0">
            <w:pPr>
              <w:pStyle w:val="TableText"/>
              <w:keepNext/>
              <w:keepLines/>
              <w:rPr>
                <w:b w:val="0"/>
                <w:bCs w:val="0"/>
              </w:rPr>
            </w:pPr>
            <w:r w:rsidRPr="0020543F">
              <w:t>Segment og drivmiddel</w:t>
            </w:r>
          </w:p>
        </w:tc>
        <w:tc>
          <w:tcPr>
            <w:tcW w:w="1417" w:type="dxa"/>
          </w:tcPr>
          <w:p w14:paraId="5404E215" w14:textId="77777777" w:rsidR="00D14571" w:rsidRPr="00FB21C0" w:rsidRDefault="00D14571" w:rsidP="00E44DB0">
            <w:pPr>
              <w:pStyle w:val="TableText"/>
              <w:keepNext/>
              <w:keepLines/>
              <w:jc w:val="center"/>
              <w:cnfStyle w:val="100000000000" w:firstRow="1" w:lastRow="0" w:firstColumn="0" w:lastColumn="0" w:oddVBand="0" w:evenVBand="0" w:oddHBand="0" w:evenHBand="0" w:firstRowFirstColumn="0" w:firstRowLastColumn="0" w:lastRowFirstColumn="0" w:lastRowLastColumn="0"/>
              <w:rPr>
                <w:rFonts w:ascii="Cambria Math" w:hAnsi="Cambria Math"/>
                <w:b w:val="0"/>
                <w:bCs w:val="0"/>
              </w:rPr>
            </w:pPr>
            <w:r w:rsidRPr="0020543F">
              <w:t xml:space="preserve">Koefficient </w:t>
            </w:r>
            <w:r w:rsidRPr="0020543F">
              <w:rPr>
                <w:rFonts w:ascii="Cambria Math" w:hAnsi="Cambria Math"/>
              </w:rPr>
              <w:t>α</w:t>
            </w:r>
          </w:p>
          <w:p w14:paraId="5A6234AA" w14:textId="77777777" w:rsidR="00D14571" w:rsidRPr="0020543F" w:rsidRDefault="00D14571" w:rsidP="00E44DB0">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bCs w:val="0"/>
              </w:rPr>
            </w:pPr>
            <w:r w:rsidRPr="00C27824">
              <w:t>[kr. pr. km]</w:t>
            </w:r>
          </w:p>
        </w:tc>
        <w:tc>
          <w:tcPr>
            <w:tcW w:w="1417" w:type="dxa"/>
          </w:tcPr>
          <w:p w14:paraId="048B5353" w14:textId="77777777" w:rsidR="00D14571" w:rsidRDefault="00D14571" w:rsidP="00E44DB0">
            <w:pPr>
              <w:pStyle w:val="TableText"/>
              <w:keepNext/>
              <w:keepLines/>
              <w:jc w:val="center"/>
              <w:cnfStyle w:val="100000000000" w:firstRow="1" w:lastRow="0" w:firstColumn="0" w:lastColumn="0" w:oddVBand="0" w:evenVBand="0" w:oddHBand="0" w:evenHBand="0" w:firstRowFirstColumn="0" w:firstRowLastColumn="0" w:lastRowFirstColumn="0" w:lastRowLastColumn="0"/>
              <w:rPr>
                <w:rFonts w:ascii="Cambria Math" w:hAnsi="Cambria Math"/>
                <w:b w:val="0"/>
                <w:bCs w:val="0"/>
              </w:rPr>
            </w:pPr>
            <w:r w:rsidRPr="0020543F">
              <w:t xml:space="preserve">Koefficient </w:t>
            </w:r>
            <w:r w:rsidRPr="0020543F">
              <w:rPr>
                <w:rFonts w:ascii="Cambria Math" w:hAnsi="Cambria Math"/>
              </w:rPr>
              <w:t>β</w:t>
            </w:r>
          </w:p>
          <w:p w14:paraId="70084A67" w14:textId="77777777" w:rsidR="00D14571" w:rsidRPr="0020543F" w:rsidRDefault="00D14571" w:rsidP="00E44DB0">
            <w:pPr>
              <w:pStyle w:val="TableText"/>
              <w:keepNext/>
              <w:keepLines/>
              <w:jc w:val="center"/>
              <w:cnfStyle w:val="100000000000" w:firstRow="1" w:lastRow="0" w:firstColumn="0" w:lastColumn="0" w:oddVBand="0" w:evenVBand="0" w:oddHBand="0" w:evenHBand="0" w:firstRowFirstColumn="0" w:firstRowLastColumn="0" w:lastRowFirstColumn="0" w:lastRowLastColumn="0"/>
              <w:rPr>
                <w:b w:val="0"/>
                <w:bCs w:val="0"/>
              </w:rPr>
            </w:pPr>
            <w:r w:rsidRPr="00FB21C0">
              <w:t xml:space="preserve">[kr. pr. km pr. år] </w:t>
            </w:r>
          </w:p>
        </w:tc>
      </w:tr>
      <w:tr w:rsidR="00D14571" w14:paraId="70648F47" w14:textId="77777777" w:rsidTr="0041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3BBC4AF" w14:textId="77777777" w:rsidR="00D14571" w:rsidRDefault="00D14571" w:rsidP="00E44DB0">
            <w:pPr>
              <w:pStyle w:val="TableText"/>
              <w:keepNext/>
              <w:keepLines/>
            </w:pPr>
            <w:r>
              <w:t>Lille</w:t>
            </w:r>
            <w:r w:rsidRPr="00FD06F7">
              <w:t xml:space="preserve"> </w:t>
            </w:r>
            <w:r>
              <w:t>varebil</w:t>
            </w:r>
            <w:r w:rsidRPr="00FD06F7">
              <w:t xml:space="preserve"> (</w:t>
            </w:r>
            <w:r>
              <w:t>C</w:t>
            </w:r>
            <w:r w:rsidRPr="00FD06F7">
              <w:t xml:space="preserve"> segment), </w:t>
            </w:r>
            <w:r>
              <w:t>diesel</w:t>
            </w:r>
          </w:p>
        </w:tc>
        <w:tc>
          <w:tcPr>
            <w:tcW w:w="1417" w:type="dxa"/>
          </w:tcPr>
          <w:p w14:paraId="05756803" w14:textId="77777777" w:rsidR="00D14571" w:rsidRDefault="00D14571" w:rsidP="00E44DB0">
            <w:pPr>
              <w:pStyle w:val="TableText"/>
              <w:keepNext/>
              <w:keepLines/>
              <w:jc w:val="right"/>
              <w:cnfStyle w:val="000000100000" w:firstRow="0" w:lastRow="0" w:firstColumn="0" w:lastColumn="0" w:oddVBand="0" w:evenVBand="0" w:oddHBand="1" w:evenHBand="0" w:firstRowFirstColumn="0" w:firstRowLastColumn="0" w:lastRowFirstColumn="0" w:lastRowLastColumn="0"/>
            </w:pPr>
            <w:r w:rsidRPr="00BE5EAE">
              <w:t>0,154092398</w:t>
            </w:r>
          </w:p>
        </w:tc>
        <w:tc>
          <w:tcPr>
            <w:tcW w:w="1417" w:type="dxa"/>
          </w:tcPr>
          <w:p w14:paraId="0423E714" w14:textId="77777777" w:rsidR="00D14571" w:rsidRDefault="00D14571" w:rsidP="00E44DB0">
            <w:pPr>
              <w:pStyle w:val="TableText"/>
              <w:keepNext/>
              <w:keepLines/>
              <w:jc w:val="right"/>
              <w:cnfStyle w:val="000000100000" w:firstRow="0" w:lastRow="0" w:firstColumn="0" w:lastColumn="0" w:oddVBand="0" w:evenVBand="0" w:oddHBand="1" w:evenHBand="0" w:firstRowFirstColumn="0" w:firstRowLastColumn="0" w:lastRowFirstColumn="0" w:lastRowLastColumn="0"/>
            </w:pPr>
            <w:r w:rsidRPr="00BE5EAE">
              <w:t>0,048034805</w:t>
            </w:r>
          </w:p>
        </w:tc>
      </w:tr>
      <w:tr w:rsidR="00D14571" w14:paraId="33B4947E" w14:textId="77777777" w:rsidTr="00412A43">
        <w:tc>
          <w:tcPr>
            <w:cnfStyle w:val="001000000000" w:firstRow="0" w:lastRow="0" w:firstColumn="1" w:lastColumn="0" w:oddVBand="0" w:evenVBand="0" w:oddHBand="0" w:evenHBand="0" w:firstRowFirstColumn="0" w:firstRowLastColumn="0" w:lastRowFirstColumn="0" w:lastRowLastColumn="0"/>
            <w:tcW w:w="3969" w:type="dxa"/>
          </w:tcPr>
          <w:p w14:paraId="5CD98CA7" w14:textId="77777777" w:rsidR="00D14571" w:rsidRDefault="00D14571" w:rsidP="00E44DB0">
            <w:pPr>
              <w:pStyle w:val="TableText"/>
              <w:keepNext/>
              <w:keepLines/>
            </w:pPr>
            <w:r w:rsidRPr="00FD06F7">
              <w:t>M</w:t>
            </w:r>
            <w:r>
              <w:t>ellemstor</w:t>
            </w:r>
            <w:r w:rsidRPr="00FD06F7">
              <w:t xml:space="preserve"> </w:t>
            </w:r>
            <w:r>
              <w:t>varebil</w:t>
            </w:r>
            <w:r w:rsidRPr="00FD06F7">
              <w:t xml:space="preserve"> (</w:t>
            </w:r>
            <w:r>
              <w:t>D</w:t>
            </w:r>
            <w:r w:rsidRPr="00FD06F7">
              <w:t xml:space="preserve"> segment), diesel</w:t>
            </w:r>
          </w:p>
        </w:tc>
        <w:tc>
          <w:tcPr>
            <w:tcW w:w="1417" w:type="dxa"/>
          </w:tcPr>
          <w:p w14:paraId="20F5D83C" w14:textId="77777777" w:rsidR="00D14571" w:rsidRDefault="00D14571" w:rsidP="00E44DB0">
            <w:pPr>
              <w:pStyle w:val="TableText"/>
              <w:keepNext/>
              <w:keepLines/>
              <w:jc w:val="right"/>
              <w:cnfStyle w:val="000000000000" w:firstRow="0" w:lastRow="0" w:firstColumn="0" w:lastColumn="0" w:oddVBand="0" w:evenVBand="0" w:oddHBand="0" w:evenHBand="0" w:firstRowFirstColumn="0" w:firstRowLastColumn="0" w:lastRowFirstColumn="0" w:lastRowLastColumn="0"/>
            </w:pPr>
            <w:r w:rsidRPr="00BE5EAE">
              <w:t>0,17100091</w:t>
            </w:r>
          </w:p>
        </w:tc>
        <w:tc>
          <w:tcPr>
            <w:tcW w:w="1417" w:type="dxa"/>
          </w:tcPr>
          <w:p w14:paraId="1275290D" w14:textId="77777777" w:rsidR="00D14571" w:rsidRDefault="00D14571" w:rsidP="00E44DB0">
            <w:pPr>
              <w:pStyle w:val="TableText"/>
              <w:keepNext/>
              <w:keepLines/>
              <w:jc w:val="right"/>
              <w:cnfStyle w:val="000000000000" w:firstRow="0" w:lastRow="0" w:firstColumn="0" w:lastColumn="0" w:oddVBand="0" w:evenVBand="0" w:oddHBand="0" w:evenHBand="0" w:firstRowFirstColumn="0" w:firstRowLastColumn="0" w:lastRowFirstColumn="0" w:lastRowLastColumn="0"/>
            </w:pPr>
            <w:r w:rsidRPr="00BE5EAE">
              <w:t>0,067761403</w:t>
            </w:r>
          </w:p>
        </w:tc>
      </w:tr>
      <w:tr w:rsidR="00D14571" w14:paraId="7883CA16" w14:textId="77777777" w:rsidTr="0041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1B1652A" w14:textId="77777777" w:rsidR="00D14571" w:rsidRDefault="00D14571" w:rsidP="00E44DB0">
            <w:pPr>
              <w:pStyle w:val="TableText"/>
              <w:keepNext/>
              <w:keepLines/>
            </w:pPr>
            <w:r>
              <w:t>Stor</w:t>
            </w:r>
            <w:r w:rsidRPr="00FD06F7">
              <w:t xml:space="preserve"> </w:t>
            </w:r>
            <w:r>
              <w:t>varebil</w:t>
            </w:r>
            <w:r w:rsidRPr="00FD06F7">
              <w:t xml:space="preserve"> (</w:t>
            </w:r>
            <w:r>
              <w:t>E</w:t>
            </w:r>
            <w:r w:rsidRPr="00FD06F7">
              <w:t xml:space="preserve"> segment), diesel</w:t>
            </w:r>
          </w:p>
        </w:tc>
        <w:tc>
          <w:tcPr>
            <w:tcW w:w="1417" w:type="dxa"/>
          </w:tcPr>
          <w:p w14:paraId="7D82C95B" w14:textId="77777777" w:rsidR="00D14571" w:rsidRDefault="00D14571" w:rsidP="00E44DB0">
            <w:pPr>
              <w:pStyle w:val="TableText"/>
              <w:keepNext/>
              <w:keepLines/>
              <w:jc w:val="right"/>
              <w:cnfStyle w:val="000000100000" w:firstRow="0" w:lastRow="0" w:firstColumn="0" w:lastColumn="0" w:oddVBand="0" w:evenVBand="0" w:oddHBand="1" w:evenHBand="0" w:firstRowFirstColumn="0" w:firstRowLastColumn="0" w:lastRowFirstColumn="0" w:lastRowLastColumn="0"/>
            </w:pPr>
            <w:r w:rsidRPr="00BE5EAE">
              <w:t>0,193139017</w:t>
            </w:r>
          </w:p>
        </w:tc>
        <w:tc>
          <w:tcPr>
            <w:tcW w:w="1417" w:type="dxa"/>
          </w:tcPr>
          <w:p w14:paraId="1D73A4BE" w14:textId="77777777" w:rsidR="00D14571" w:rsidRDefault="00D14571" w:rsidP="00E44DB0">
            <w:pPr>
              <w:pStyle w:val="TableText"/>
              <w:keepNext/>
              <w:keepLines/>
              <w:jc w:val="right"/>
              <w:cnfStyle w:val="000000100000" w:firstRow="0" w:lastRow="0" w:firstColumn="0" w:lastColumn="0" w:oddVBand="0" w:evenVBand="0" w:oddHBand="1" w:evenHBand="0" w:firstRowFirstColumn="0" w:firstRowLastColumn="0" w:lastRowFirstColumn="0" w:lastRowLastColumn="0"/>
            </w:pPr>
            <w:r w:rsidRPr="00BE5EAE">
              <w:t>0,093589193</w:t>
            </w:r>
          </w:p>
        </w:tc>
      </w:tr>
    </w:tbl>
    <w:p w14:paraId="72ECAF9E" w14:textId="77777777" w:rsidR="00D14571" w:rsidRPr="00FB21C0" w:rsidRDefault="00D14571" w:rsidP="00973E96">
      <w:pPr>
        <w:pStyle w:val="Caption"/>
      </w:pPr>
      <w:r w:rsidRPr="00FB21C0">
        <w:t>Note: Koefficienten α er baseret på servicekontrakt første år ex moms, mens koefficienten β er baseret på forlængelse af service-kontrakt ex moms</w:t>
      </w:r>
    </w:p>
    <w:p w14:paraId="7D1A2386" w14:textId="77777777" w:rsidR="00D14571" w:rsidRPr="00F646EE" w:rsidRDefault="00D14571" w:rsidP="00D14571">
      <w:pPr>
        <w:pStyle w:val="BodyText"/>
      </w:pPr>
    </w:p>
    <w:p w14:paraId="6ED1D7DE" w14:textId="77777777" w:rsidR="00D14571" w:rsidRPr="00F646EE" w:rsidRDefault="00D14571" w:rsidP="00D14571">
      <w:pPr>
        <w:pStyle w:val="MarginFrame"/>
        <w:framePr w:wrap="around"/>
      </w:pPr>
      <w:r w:rsidRPr="00F646EE">
        <w:t>El- og pluginhybrid-</w:t>
      </w:r>
      <w:r>
        <w:t>vare</w:t>
      </w:r>
      <w:r w:rsidRPr="00F646EE">
        <w:t>biler</w:t>
      </w:r>
    </w:p>
    <w:p w14:paraId="03535A29" w14:textId="77777777" w:rsidR="00D14571" w:rsidRPr="00F7598E" w:rsidRDefault="00D14571" w:rsidP="00D14571">
      <w:pPr>
        <w:pStyle w:val="BodyText"/>
      </w:pPr>
      <w:r>
        <w:t xml:space="preserve">For el- og pluginhybrid-varebiler fastsætter vi herefter omkostningerne til henholdsvis 50 og 110 procent af omkostninger for tilsvarende benzin varebiler, med samme udgangspunkt som beskrevet ovenfor vedrørende personbiler. </w:t>
      </w:r>
    </w:p>
    <w:p w14:paraId="2FB689C6" w14:textId="77777777" w:rsidR="00D14571" w:rsidRPr="00F7598E" w:rsidRDefault="00D14571" w:rsidP="00D14571">
      <w:pPr>
        <w:pStyle w:val="Heading3"/>
      </w:pPr>
      <w:r w:rsidRPr="00F7598E">
        <w:t>Lastbiler</w:t>
      </w:r>
    </w:p>
    <w:p w14:paraId="08D03139" w14:textId="7F308508" w:rsidR="00D14571" w:rsidRPr="00F7598E" w:rsidRDefault="00D14571" w:rsidP="00D14571">
      <w:pPr>
        <w:pStyle w:val="BodyText"/>
      </w:pPr>
      <w:r w:rsidRPr="00F7598E">
        <w:t>For udvalgte typer af lastbiler jf</w:t>
      </w:r>
      <w:r>
        <w:t>.</w:t>
      </w:r>
      <w:r w:rsidRPr="00F7598E">
        <w:t xml:space="preserve"> de 5 kategorier/segmenter har vi– i forbindelse med en tidligere opdatering af kørselsomkostningerne - bedt repræsentanter for de i Danmark mest udbredte lastbil-mærker give bud på priser på så vidt muligt altomfattende servicekontrakter (ved typisk løbetid, årskørsel og alder mm.).</w:t>
      </w:r>
    </w:p>
    <w:p w14:paraId="35FD1C58" w14:textId="77777777" w:rsidR="00D14571" w:rsidRPr="00F7598E" w:rsidRDefault="00D14571" w:rsidP="00D14571">
      <w:pPr>
        <w:pStyle w:val="BodyText"/>
      </w:pPr>
      <w:r w:rsidRPr="00F7598E">
        <w:t>På den baggrund har vi modtaget priser på fuld-service kontrakter for de, efter branchefolkenes vurdering, 1-3 mest typiske biler af deres mærke indenfor hver af de 5 kategorier/segmenter. Priserne er beregnet med udgangspunkt i årskørsler og løbetider, der så vidt muligt modsvarer de konkret fundne.</w:t>
      </w:r>
    </w:p>
    <w:p w14:paraId="4A351E21" w14:textId="77777777" w:rsidR="00D14571" w:rsidRPr="00F7598E" w:rsidRDefault="00D14571" w:rsidP="00D14571">
      <w:pPr>
        <w:pStyle w:val="BodyText"/>
      </w:pPr>
      <w:r w:rsidRPr="00F7598E">
        <w:t>På den basis er beregnet</w:t>
      </w:r>
      <w:bookmarkStart w:id="31" w:name="_Hlk85550434"/>
      <w:r w:rsidRPr="00F7598E">
        <w:t xml:space="preserve"> gennemsnitlige omkostninger per kørt kilometer til service, reparation og vedligehold for hver kategori af lastbiler</w:t>
      </w:r>
      <w:bookmarkEnd w:id="31"/>
      <w:r w:rsidRPr="00F7598E">
        <w:t>, der herefter omregnes til årlige omkostninger på basis af estimerede årskørsler.</w:t>
      </w:r>
    </w:p>
    <w:p w14:paraId="72D1C0BC" w14:textId="77777777" w:rsidR="00D14571" w:rsidRDefault="00D14571" w:rsidP="00D14571">
      <w:pPr>
        <w:pStyle w:val="BodyText"/>
      </w:pPr>
      <w:r w:rsidRPr="00F7598E">
        <w:t>Ligeledes baseret på vurderinger fra branchefolk, er der estimeret tillæg for omkostninger til service, reparation og vedligehold af eventuel anhænger, påhængsvogn, sættevogn med videre i de tre kategorier/segmenter, hvor dette måtte være relevant.</w:t>
      </w:r>
    </w:p>
    <w:p w14:paraId="73DBE9F3" w14:textId="65E551BD" w:rsidR="00D14571" w:rsidRDefault="00D14571" w:rsidP="00D14571">
      <w:pPr>
        <w:pStyle w:val="BodyText"/>
      </w:pPr>
      <w:r w:rsidRPr="00414CCE">
        <w:t xml:space="preserve">Efter sammenligning med nyere kilder vurderer vi, at ovennævnte datagrundlag fortsat er solidt og gennemarbejdet. Vi fastholder derfor dette grundlag for </w:t>
      </w:r>
      <w:proofErr w:type="spellStart"/>
      <w:r w:rsidRPr="00414CCE">
        <w:t>estimation</w:t>
      </w:r>
      <w:proofErr w:type="spellEnd"/>
      <w:r w:rsidRPr="00414CCE">
        <w:t xml:space="preserve"> af de gennemsnitlige omkostninger til service, reparation og vedligehold for hver kategori/segment af lastbiler mv. </w:t>
      </w:r>
    </w:p>
    <w:p w14:paraId="4F3558B0" w14:textId="3BF536C3" w:rsidR="00AB1BA5" w:rsidRDefault="00AB1BA5" w:rsidP="00AB1BA5">
      <w:pPr>
        <w:pStyle w:val="Heading2"/>
      </w:pPr>
      <w:bookmarkStart w:id="32" w:name="_Toc88834875"/>
      <w:r>
        <w:t>Dæk</w:t>
      </w:r>
      <w:bookmarkEnd w:id="32"/>
    </w:p>
    <w:p w14:paraId="77A504FA" w14:textId="77777777" w:rsidR="00AB1BA5" w:rsidRPr="0044765F" w:rsidRDefault="00AB1BA5" w:rsidP="00AB1BA5">
      <w:pPr>
        <w:pStyle w:val="BodyText"/>
      </w:pPr>
      <w:r>
        <w:t>En and</w:t>
      </w:r>
      <w:r w:rsidRPr="0044765F">
        <w:t>en væsentlig omkostningskomponent for såvel personbiler som vare- og lastbiler er omkostninger til dæk.</w:t>
      </w:r>
    </w:p>
    <w:p w14:paraId="10BCD752" w14:textId="77777777" w:rsidR="00AB1BA5" w:rsidRPr="0044765F" w:rsidRDefault="00AB1BA5" w:rsidP="00AB1BA5">
      <w:pPr>
        <w:pStyle w:val="MarginFrame"/>
        <w:framePr w:wrap="around"/>
      </w:pPr>
      <w:r w:rsidRPr="0044765F">
        <w:lastRenderedPageBreak/>
        <w:t>Personbiler</w:t>
      </w:r>
    </w:p>
    <w:p w14:paraId="379D18DD" w14:textId="4AF06193" w:rsidR="00AB1BA5" w:rsidRPr="0044765F" w:rsidRDefault="00AB1BA5" w:rsidP="00AB1BA5">
      <w:pPr>
        <w:pStyle w:val="BodyText"/>
      </w:pPr>
      <w:r w:rsidRPr="0044765F">
        <w:t>For personbiler antages en levetid for et gennemsnitligt dæk at være cirka 35.000 kilometer. Dette baseres på flere forskellige kilder</w:t>
      </w:r>
      <w:r w:rsidR="00D14571" w:rsidRPr="0044765F">
        <w:t>,</w:t>
      </w:r>
      <w:r w:rsidRPr="0044765F">
        <w:t xml:space="preserve"> der angiver, at et personbil-dæk af god kvalitet har en levetid på cirka 40-50.000 km, mens et bildæk af dårlig kvalitet har en levetid på kun cirka 10-15.000 kilometer, sammenholdt med at FDM anvender en tid på gennemsnitligt 35.000 km i deres vejledende bilbudget.</w:t>
      </w:r>
    </w:p>
    <w:p w14:paraId="20CFB958" w14:textId="77777777" w:rsidR="00AB1BA5" w:rsidRPr="0044765F" w:rsidRDefault="00AB1BA5" w:rsidP="00AB1BA5">
      <w:pPr>
        <w:pStyle w:val="BodyText"/>
      </w:pPr>
      <w:r w:rsidRPr="0044765F">
        <w:t>Det antages således, at alle dæk på en personbil skal skiftes efter hver 35.000 kilometers kørsel.</w:t>
      </w:r>
    </w:p>
    <w:p w14:paraId="5C061D63" w14:textId="77777777" w:rsidR="00AB1BA5" w:rsidRPr="0044765F" w:rsidRDefault="00AB1BA5" w:rsidP="00AB1BA5">
      <w:pPr>
        <w:pStyle w:val="MarginFrame"/>
        <w:framePr w:wrap="around"/>
      </w:pPr>
      <w:r w:rsidRPr="0044765F">
        <w:t>Varebiler</w:t>
      </w:r>
    </w:p>
    <w:p w14:paraId="71A2568C" w14:textId="77777777" w:rsidR="00AB1BA5" w:rsidRPr="0044765F" w:rsidRDefault="00AB1BA5" w:rsidP="00AB1BA5">
      <w:pPr>
        <w:pStyle w:val="BodyText"/>
      </w:pPr>
      <w:r w:rsidRPr="0044765F">
        <w:t>Varebiler forudsættes i store træk at anvende samme typer dæk som personbiler, og derfor antages en levetid for et gennemsnitligt dæk at være 35.000 kilometer som for personbiler.</w:t>
      </w:r>
    </w:p>
    <w:p w14:paraId="7BDF3529" w14:textId="77777777" w:rsidR="00AB1BA5" w:rsidRPr="0044765F" w:rsidRDefault="00AB1BA5" w:rsidP="00AB1BA5">
      <w:pPr>
        <w:pStyle w:val="MarginFrame"/>
        <w:framePr w:wrap="around"/>
      </w:pPr>
      <w:r w:rsidRPr="0044765F">
        <w:t>Lastbiler</w:t>
      </w:r>
    </w:p>
    <w:p w14:paraId="3D077349" w14:textId="77777777" w:rsidR="00AB1BA5" w:rsidRPr="0044765F" w:rsidRDefault="00AB1BA5" w:rsidP="00AB1BA5">
      <w:pPr>
        <w:pStyle w:val="BodyText"/>
      </w:pPr>
      <w:r w:rsidRPr="0044765F">
        <w:t>For lastbiler antages dæklevetiden at variere med lastbilens anvendelse. Baseret på vurderinger fra personer i branchen antages følgende om dæklevetiden:</w:t>
      </w:r>
    </w:p>
    <w:p w14:paraId="61DE8811" w14:textId="77777777" w:rsidR="00AB1BA5" w:rsidRPr="0044765F" w:rsidRDefault="00AB1BA5" w:rsidP="00AB1BA5">
      <w:pPr>
        <w:pStyle w:val="BodyText"/>
      </w:pPr>
      <w:r w:rsidRPr="0044765F">
        <w:t>For en lastbil uden anhænger under 12 ton, der typisk anvendes til (lokal) distribution, antages en dæklevetid på cirka 150.000 km, mens en lastbil uden anhænger over 12 ton, der ofte anvendes til entreprenør-kørsel, antages at have en dæklevetid på cirka 100.000 km.</w:t>
      </w:r>
    </w:p>
    <w:p w14:paraId="3116D822" w14:textId="77777777" w:rsidR="00AB1BA5" w:rsidRPr="0044765F" w:rsidRDefault="00AB1BA5" w:rsidP="00AB1BA5">
      <w:pPr>
        <w:pStyle w:val="BodyText"/>
      </w:pPr>
      <w:r w:rsidRPr="0044765F">
        <w:t xml:space="preserve">For en lastbil med anhænger, hvoraf en del anvendes til entreprenør-kørsel og andre til distribution, antages en dæklevetid på cirka 150.000 km, mens sættevognstog og modulvogntog, der oftest anvendes til distribution på langtur, antages at have en dæklevetid på 200.000 km. </w:t>
      </w:r>
    </w:p>
    <w:p w14:paraId="546E4FAA" w14:textId="5F7E5CFE" w:rsidR="00AB1BA5" w:rsidRPr="006129DA" w:rsidRDefault="00AB1BA5" w:rsidP="00AB1BA5">
      <w:pPr>
        <w:pStyle w:val="BodyText"/>
      </w:pPr>
      <w:r w:rsidRPr="0044765F">
        <w:t>Det bemærkes, at antallet af dæk for s</w:t>
      </w:r>
      <w:r>
        <w:t>å vidt angår lastbiler</w:t>
      </w:r>
      <w:r w:rsidR="0044765F">
        <w:t>,</w:t>
      </w:r>
      <w:r>
        <w:t xml:space="preserve"> inkluderer en vurdering af antallet af dæk til såvel </w:t>
      </w:r>
      <w:proofErr w:type="spellStart"/>
      <w:r>
        <w:t>forvogn</w:t>
      </w:r>
      <w:proofErr w:type="spellEnd"/>
      <w:r>
        <w:t xml:space="preserve">/trækker, som til eventuel anhænger, hvor dette måtte være relevant. </w:t>
      </w:r>
    </w:p>
    <w:p w14:paraId="26F31941" w14:textId="77777777" w:rsidR="00AB1BA5" w:rsidRDefault="00AB1BA5" w:rsidP="00AB1BA5">
      <w:pPr>
        <w:pStyle w:val="BodyText"/>
      </w:pPr>
      <w:r>
        <w:t xml:space="preserve">For personbiler og varebiler er der ved opslag i </w:t>
      </w:r>
      <w:proofErr w:type="spellStart"/>
      <w:r>
        <w:t>FDMs</w:t>
      </w:r>
      <w:proofErr w:type="spellEnd"/>
      <w:r>
        <w:t xml:space="preserve"> bildatabase fundet anbefalede dækstørrelser for cirka halvdelen af bilerne indenfor hver kategori. Der er herefter på mindst to dækcentres hjemmesider fundet priser på dyreste og billigste sommerdæk og vinterdæk for hver dækstørrelse, hvorefter der er beregnet et gennemsnit indenfor hver kategori af personbiler og varebiler. </w:t>
      </w:r>
    </w:p>
    <w:p w14:paraId="571CAD0D" w14:textId="771347FF" w:rsidR="00AB1BA5" w:rsidRDefault="00AB1BA5" w:rsidP="00AB1BA5">
      <w:pPr>
        <w:pStyle w:val="BodyText"/>
      </w:pPr>
      <w:r>
        <w:t xml:space="preserve">For lastbiler er der ved opslag i tilgængelig teknisk dokumentation fundet anbefalede dækstørrelser for to til tre typiske lastbiler indenfor hver kategori, hvorefter der er fundet et estimat for prisen ved opslag på dækcentres hjemmesider. </w:t>
      </w:r>
    </w:p>
    <w:p w14:paraId="49429BA0" w14:textId="712867BD" w:rsidR="00AB1BA5" w:rsidRDefault="00F563C2" w:rsidP="00F563C2">
      <w:pPr>
        <w:pStyle w:val="Heading2"/>
      </w:pPr>
      <w:bookmarkStart w:id="33" w:name="_Toc88834876"/>
      <w:r>
        <w:t>Eventuelt batteri</w:t>
      </w:r>
      <w:bookmarkEnd w:id="33"/>
    </w:p>
    <w:p w14:paraId="1B1AE867" w14:textId="7AE7B4C8" w:rsidR="00F563C2" w:rsidRDefault="00F563C2" w:rsidP="00F563C2">
      <w:pPr>
        <w:pStyle w:val="BodyText"/>
      </w:pPr>
      <w:r>
        <w:t xml:space="preserve">For </w:t>
      </w:r>
      <w:proofErr w:type="gramStart"/>
      <w:r>
        <w:t xml:space="preserve">el- og </w:t>
      </w:r>
      <w:r w:rsidR="009C0481">
        <w:t>plugin</w:t>
      </w:r>
      <w:r>
        <w:t>hybrid</w:t>
      </w:r>
      <w:proofErr w:type="gramEnd"/>
      <w:r>
        <w:t xml:space="preserve"> biler indgår en særskilt omkostning til </w:t>
      </w:r>
      <w:r w:rsidR="00D03A0E">
        <w:t xml:space="preserve">udskiftning af </w:t>
      </w:r>
      <w:r>
        <w:t xml:space="preserve">batteri/batteri-pakke. </w:t>
      </w:r>
    </w:p>
    <w:p w14:paraId="72527CCC" w14:textId="77777777" w:rsidR="00F563C2" w:rsidRPr="0095571F" w:rsidRDefault="00F563C2" w:rsidP="00F563C2">
      <w:pPr>
        <w:pStyle w:val="MarginFrame"/>
        <w:framePr w:wrap="around"/>
      </w:pPr>
      <w:r w:rsidRPr="0095571F">
        <w:t>Personbiler</w:t>
      </w:r>
      <w:r>
        <w:t>, el</w:t>
      </w:r>
    </w:p>
    <w:p w14:paraId="618AA5F4" w14:textId="77777777" w:rsidR="00F563C2" w:rsidRPr="009D4F90" w:rsidRDefault="00F563C2" w:rsidP="00F563C2">
      <w:pPr>
        <w:pStyle w:val="BodyText"/>
      </w:pPr>
      <w:r>
        <w:t>Producenter/forhandlere af moderne elbiler giver typisk garanti for batteripakkens holdbarhed i op til minim</w:t>
      </w:r>
      <w:r w:rsidRPr="009D4F90">
        <w:t xml:space="preserve">um 100.000 km eller 5-8 år. </w:t>
      </w:r>
    </w:p>
    <w:p w14:paraId="1F0D679F" w14:textId="45F3BE3F" w:rsidR="00F563C2" w:rsidRPr="009D4F90" w:rsidRDefault="00F563C2" w:rsidP="00F563C2">
      <w:pPr>
        <w:pStyle w:val="BodyText"/>
      </w:pPr>
      <w:r w:rsidRPr="009D4F90">
        <w:lastRenderedPageBreak/>
        <w:t>Det antages på den baggrund</w:t>
      </w:r>
      <w:r w:rsidR="00E44DB0" w:rsidRPr="009D4F90">
        <w:t>,</w:t>
      </w:r>
      <w:r w:rsidRPr="009D4F90">
        <w:t xml:space="preserve"> at batteripakken holder i 6-8 år, hvorefter den skal skiftes og holder i resten i resten af bilens levetid. Med andre ord antages det, at batteripakken skal skiftes en gang i bilens levetid. </w:t>
      </w:r>
    </w:p>
    <w:p w14:paraId="604CFA67" w14:textId="328D9896" w:rsidR="00F563C2" w:rsidRPr="009D4F90" w:rsidRDefault="00F563C2" w:rsidP="00F563C2">
      <w:pPr>
        <w:pStyle w:val="BodyText"/>
      </w:pPr>
      <w:r w:rsidRPr="009D4F90">
        <w:t xml:space="preserve">En moderne lille, ny elbil har typisk en batteripakke-kapacitet på </w:t>
      </w:r>
      <w:r w:rsidR="005245DE" w:rsidRPr="009D4F90">
        <w:t>30-</w:t>
      </w:r>
      <w:r w:rsidR="0084692E" w:rsidRPr="009D4F90">
        <w:t>55</w:t>
      </w:r>
      <w:r w:rsidRPr="009D4F90">
        <w:t xml:space="preserve"> kWh. </w:t>
      </w:r>
      <w:r w:rsidR="0084692E" w:rsidRPr="009D4F90">
        <w:t>For en</w:t>
      </w:r>
      <w:r w:rsidR="001B2B20" w:rsidRPr="009D4F90">
        <w:t xml:space="preserve"> </w:t>
      </w:r>
      <w:r w:rsidR="0084692E" w:rsidRPr="009D4F90">
        <w:t>mellemstor</w:t>
      </w:r>
      <w:r w:rsidR="001B2B20" w:rsidRPr="009D4F90">
        <w:t xml:space="preserve"> elbil </w:t>
      </w:r>
      <w:r w:rsidR="00DC0EF1" w:rsidRPr="009D4F90">
        <w:t xml:space="preserve">er </w:t>
      </w:r>
      <w:r w:rsidR="00E34FC8" w:rsidRPr="009D4F90">
        <w:t xml:space="preserve">batteristørrelsen lidt større end for de små biler og lidt under de store elbiler. Det varierer dog meget, og man kan indenfor hver kategori finde biler med en mindre og en større batteripakke. </w:t>
      </w:r>
      <w:r w:rsidR="00F32C40" w:rsidRPr="009D4F90">
        <w:t xml:space="preserve">Batteristørrelserne </w:t>
      </w:r>
      <w:r w:rsidR="00FC24C2" w:rsidRPr="009D4F90">
        <w:t>ligger omkring 75 kWh.</w:t>
      </w:r>
    </w:p>
    <w:p w14:paraId="13F44FC3" w14:textId="1F9D9D8B" w:rsidR="00516D9E" w:rsidRPr="009D4F90" w:rsidRDefault="00F563C2" w:rsidP="00F563C2">
      <w:pPr>
        <w:pStyle w:val="BodyText"/>
      </w:pPr>
      <w:r w:rsidRPr="009D4F90">
        <w:t xml:space="preserve">Der pålægges derfor en omkostning til udskiftning af batteripakken svarende til </w:t>
      </w:r>
      <w:r w:rsidR="00CF32B8" w:rsidRPr="009D4F90">
        <w:t>de repræsentative bilers batteripakker</w:t>
      </w:r>
      <w:r w:rsidR="009D4F90" w:rsidRPr="009D4F90">
        <w:t xml:space="preserve"> </w:t>
      </w:r>
      <w:r w:rsidRPr="009D4F90">
        <w:t>som fordeles jævnt over bilernes levetid på anslået cirka 15 år.</w:t>
      </w:r>
      <w:r w:rsidR="00F5453D" w:rsidRPr="009D4F90">
        <w:t xml:space="preserve"> </w:t>
      </w:r>
    </w:p>
    <w:p w14:paraId="042F31BD" w14:textId="760201B5" w:rsidR="00F563C2" w:rsidRDefault="00F5453D" w:rsidP="00F563C2">
      <w:pPr>
        <w:pStyle w:val="BodyText"/>
      </w:pPr>
      <w:r w:rsidRPr="009D4F90">
        <w:t xml:space="preserve">Prisen for </w:t>
      </w:r>
      <w:r w:rsidR="00516D9E" w:rsidRPr="009D4F90">
        <w:t>batteri</w:t>
      </w:r>
      <w:r w:rsidR="00923F58" w:rsidRPr="009D4F90">
        <w:t>p</w:t>
      </w:r>
      <w:r w:rsidR="00923F58">
        <w:t xml:space="preserve">akken </w:t>
      </w:r>
      <w:r w:rsidR="00670EE2">
        <w:t xml:space="preserve">fastlægges ud fra </w:t>
      </w:r>
      <w:r w:rsidR="00CA7AE7">
        <w:t>det globale marked</w:t>
      </w:r>
      <w:r w:rsidR="001512AA">
        <w:t xml:space="preserve">. </w:t>
      </w:r>
      <w:r w:rsidR="00D8515F">
        <w:t xml:space="preserve">Prisen er </w:t>
      </w:r>
      <w:r w:rsidR="000663FC">
        <w:t>fastlagt ud fra sta</w:t>
      </w:r>
      <w:r w:rsidR="00F23EBF">
        <w:t>tista.com</w:t>
      </w:r>
      <w:r w:rsidR="00175B15">
        <w:t xml:space="preserve">, der sætter prisen for 1 kWh batterikapacitet til </w:t>
      </w:r>
      <w:r w:rsidR="00462C1D">
        <w:t>137</w:t>
      </w:r>
      <w:r w:rsidR="00132D16">
        <w:t xml:space="preserve"> USD</w:t>
      </w:r>
      <w:r w:rsidR="00181948">
        <w:t xml:space="preserve"> </w:t>
      </w:r>
      <w:r w:rsidR="00921392">
        <w:t>i 2020</w:t>
      </w:r>
      <w:r w:rsidR="00D90627">
        <w:t xml:space="preserve"> og 101 USD i 2023-2025</w:t>
      </w:r>
      <w:r w:rsidR="007E0289">
        <w:t xml:space="preserve">. </w:t>
      </w:r>
      <w:r w:rsidR="00D90627">
        <w:t xml:space="preserve">Selvom priserne forventes at falde yderligere, </w:t>
      </w:r>
      <w:r w:rsidR="00865734">
        <w:t xml:space="preserve">er det valgt at benytte </w:t>
      </w:r>
      <w:r w:rsidR="00D33DF6">
        <w:t xml:space="preserve">vurderingen på 101 USD/kWh som omregnet med 2021 dollarkursen svarer til </w:t>
      </w:r>
      <w:r w:rsidR="00CB0A78">
        <w:t xml:space="preserve">670 kr. </w:t>
      </w:r>
      <w:r w:rsidR="0098197C">
        <w:t>For en bil med en batteripakke på 75 kWh</w:t>
      </w:r>
      <w:r w:rsidR="008B0BDB">
        <w:t xml:space="preserve"> bliver den årlige gennemsnitlige omkostning til batteriet </w:t>
      </w:r>
      <w:r w:rsidR="009A5203">
        <w:t xml:space="preserve">derfor </w:t>
      </w:r>
      <w:r w:rsidR="0090205E">
        <w:t>3350 kr. ekskl. moms</w:t>
      </w:r>
      <w:r w:rsidR="00D83F8D">
        <w:t>.</w:t>
      </w:r>
      <w:r w:rsidR="00497761">
        <w:t xml:space="preserve"> Den marginale batteriomkostning findes </w:t>
      </w:r>
      <w:r w:rsidR="006F17E8">
        <w:t xml:space="preserve">i stedet ved at beregne </w:t>
      </w:r>
      <w:r w:rsidR="00302299">
        <w:t>omkostningen ud fra bilens samlede kørsel på samme måde som andre lignende omkostninger</w:t>
      </w:r>
      <w:r w:rsidR="00A62088">
        <w:t>.</w:t>
      </w:r>
    </w:p>
    <w:p w14:paraId="2193DDDA" w14:textId="2599790E" w:rsidR="00F563C2" w:rsidRPr="0095571F" w:rsidRDefault="00F563C2" w:rsidP="00F563C2">
      <w:pPr>
        <w:pStyle w:val="MarginFrame"/>
        <w:framePr w:wrap="around"/>
      </w:pPr>
      <w:r w:rsidRPr="0095571F">
        <w:t>Personbiler</w:t>
      </w:r>
      <w:r>
        <w:t xml:space="preserve">, </w:t>
      </w:r>
      <w:r w:rsidR="00C910C5">
        <w:t>plu</w:t>
      </w:r>
      <w:r w:rsidR="00C91AF2">
        <w:t>g</w:t>
      </w:r>
      <w:r w:rsidR="00C910C5">
        <w:t>in-</w:t>
      </w:r>
      <w:r>
        <w:t>hybrid</w:t>
      </w:r>
    </w:p>
    <w:p w14:paraId="253850B9" w14:textId="04229DD9" w:rsidR="00F563C2" w:rsidRDefault="00F563C2" w:rsidP="00A62088">
      <w:pPr>
        <w:pStyle w:val="BodyText"/>
      </w:pPr>
      <w:r>
        <w:t xml:space="preserve">For </w:t>
      </w:r>
      <w:r w:rsidR="00E44DB0">
        <w:t>plugin</w:t>
      </w:r>
      <w:r>
        <w:t xml:space="preserve">hybridbiler er der </w:t>
      </w:r>
      <w:r w:rsidR="00A62088">
        <w:t xml:space="preserve">typisk </w:t>
      </w:r>
      <w:r w:rsidR="00E44DB0">
        <w:t xml:space="preserve">en batteristørrelse på </w:t>
      </w:r>
      <w:r w:rsidR="00A62088">
        <w:t>om</w:t>
      </w:r>
      <w:r w:rsidR="00A62088" w:rsidRPr="00A62088">
        <w:t xml:space="preserve">kring </w:t>
      </w:r>
      <w:r w:rsidR="00E44DB0" w:rsidRPr="00A62088">
        <w:t>9</w:t>
      </w:r>
      <w:r w:rsidR="00E44DB0">
        <w:t xml:space="preserve"> kWh uanset bilkategorien. Det svarer til den størrelse som oplyses for de biler, der er medtaget i beregningerne</w:t>
      </w:r>
      <w:r>
        <w:t>.</w:t>
      </w:r>
    </w:p>
    <w:p w14:paraId="3620A390" w14:textId="1266C103" w:rsidR="00F563C2" w:rsidRPr="00F563C2" w:rsidRDefault="00F563C2" w:rsidP="00F563C2">
      <w:pPr>
        <w:pStyle w:val="Heading2"/>
      </w:pPr>
      <w:bookmarkStart w:id="34" w:name="_Toc88834877"/>
      <w:r>
        <w:t>Chauffør-lønninger</w:t>
      </w:r>
      <w:bookmarkEnd w:id="34"/>
    </w:p>
    <w:p w14:paraId="196A2E40" w14:textId="32C5EBAF" w:rsidR="00F563C2" w:rsidRDefault="00F563C2" w:rsidP="00F563C2">
      <w:pPr>
        <w:pStyle w:val="BodyText"/>
      </w:pPr>
      <w:r>
        <w:t xml:space="preserve">Som en af de faste tidsafhængige omkostningskomponenter for vare- og lastbiler indgår lønomkostninger til bilernes chauffør. </w:t>
      </w:r>
    </w:p>
    <w:p w14:paraId="197D1B1A" w14:textId="77777777" w:rsidR="00F563C2" w:rsidRDefault="00F563C2" w:rsidP="00F563C2">
      <w:pPr>
        <w:pStyle w:val="BodyText"/>
      </w:pPr>
      <w:r>
        <w:t xml:space="preserve">For bedst muligt at afspejle virksomhedens/arbejdsgiverens reelle omkostninger til løn mv. ved at have en medarbejder ansat lægges fortjenesten per præsteret time til grund. </w:t>
      </w:r>
    </w:p>
    <w:p w14:paraId="6F8583B8" w14:textId="77777777" w:rsidR="00F563C2" w:rsidRPr="00E3598C" w:rsidRDefault="00F563C2" w:rsidP="00F563C2">
      <w:pPr>
        <w:pStyle w:val="BodyText"/>
      </w:pPr>
      <w:r>
        <w:t xml:space="preserve">Fortjenesten per præsteret time fortæller noget om, hvilken </w:t>
      </w:r>
      <w:r w:rsidRPr="00E3598C">
        <w:t>lønudgift arbejdsgiveren i gennemsnit har per time, ved at have en medarbejder ansat. Fortjenesten omfatter således den samlede indtjening i forbindelse med ansættelsen, og indeholder basisfortjenesten, (inkl. særlig feriegodtgørelse, ferie- og søgnehelligdagsbetalinger), pensionsbidrag, uregelmæssige betalinger, personalegoder, genetillæg, fraværsbetalinger samt overtidstillæg, mens de præsterede timer kun omfatter de reelt arbejdede timer, dvs. antallet af betalte timer fratrukket betalte fraværstimer, betalte ferietimer og betalte søgnehelligdagstimer.</w:t>
      </w:r>
    </w:p>
    <w:p w14:paraId="701B0A6C" w14:textId="77777777" w:rsidR="00F563C2" w:rsidRPr="00E3598C" w:rsidRDefault="00F563C2" w:rsidP="00F563C2">
      <w:pPr>
        <w:pStyle w:val="MarginFrame"/>
        <w:framePr w:wrap="around"/>
      </w:pPr>
      <w:r w:rsidRPr="00E3598C">
        <w:t>Varebiler</w:t>
      </w:r>
    </w:p>
    <w:p w14:paraId="586BD6AE" w14:textId="77777777" w:rsidR="00F563C2" w:rsidRPr="00E3598C" w:rsidRDefault="00F563C2" w:rsidP="00F563C2">
      <w:pPr>
        <w:pStyle w:val="BodyText"/>
      </w:pPr>
      <w:r w:rsidRPr="00E3598C">
        <w:t xml:space="preserve">For varebiler tages udgangspunkt i fortjenesten per præsteret time for håndværkspræget arbejde generelt. </w:t>
      </w:r>
    </w:p>
    <w:p w14:paraId="3C17BE62" w14:textId="77777777" w:rsidR="00F563C2" w:rsidRPr="00E3598C" w:rsidRDefault="00F563C2" w:rsidP="00F563C2">
      <w:pPr>
        <w:pStyle w:val="MarginFrame"/>
        <w:framePr w:wrap="around"/>
      </w:pPr>
      <w:r w:rsidRPr="00E3598C">
        <w:t>Lastbiler</w:t>
      </w:r>
    </w:p>
    <w:p w14:paraId="75EF8207" w14:textId="45CC982B" w:rsidR="00F563C2" w:rsidRPr="00E3598C" w:rsidRDefault="00F563C2" w:rsidP="00F563C2">
      <w:pPr>
        <w:pStyle w:val="BodyText"/>
      </w:pPr>
      <w:r w:rsidRPr="00E3598C">
        <w:t xml:space="preserve">For lastbiler tages udgangspunkt i fortjenesten per præsteret time for </w:t>
      </w:r>
      <w:r>
        <w:t xml:space="preserve">den samlede </w:t>
      </w:r>
      <w:r w:rsidRPr="00E3598C">
        <w:t>gruppe af lastbilchauffører</w:t>
      </w:r>
      <w:r>
        <w:t>.</w:t>
      </w:r>
    </w:p>
    <w:p w14:paraId="005C2AE0" w14:textId="77777777" w:rsidR="00F563C2" w:rsidRPr="00E3598C" w:rsidRDefault="00F563C2" w:rsidP="00F563C2">
      <w:pPr>
        <w:pStyle w:val="BodyText"/>
      </w:pPr>
      <w:r w:rsidRPr="00E3598C">
        <w:lastRenderedPageBreak/>
        <w:t xml:space="preserve">De anvendte omkostninger til løn er fastlagt ved opslag i Danmarks </w:t>
      </w:r>
      <w:proofErr w:type="spellStart"/>
      <w:r w:rsidRPr="00E3598C">
        <w:t>Statistik’s</w:t>
      </w:r>
      <w:proofErr w:type="spellEnd"/>
      <w:r w:rsidRPr="00E3598C">
        <w:t xml:space="preserve"> </w:t>
      </w:r>
      <w:proofErr w:type="spellStart"/>
      <w:r w:rsidRPr="00E3598C">
        <w:t>løn-statistik</w:t>
      </w:r>
      <w:proofErr w:type="spellEnd"/>
      <w:r w:rsidRPr="00E3598C">
        <w:rPr>
          <w:rStyle w:val="FootnoteReference"/>
        </w:rPr>
        <w:footnoteReference w:id="18"/>
      </w:r>
      <w:r w:rsidRPr="00E3598C">
        <w:t xml:space="preserve">. </w:t>
      </w:r>
    </w:p>
    <w:p w14:paraId="6AE58F3E" w14:textId="49F81827" w:rsidR="00F563C2" w:rsidRDefault="00F563C2" w:rsidP="00F563C2">
      <w:pPr>
        <w:pStyle w:val="BodyText"/>
      </w:pPr>
      <w:r w:rsidRPr="00E3598C">
        <w:t xml:space="preserve">I begge tilfælde er senest tilgængelige opgørelse </w:t>
      </w:r>
      <w:r w:rsidRPr="006968A0">
        <w:t>for 20</w:t>
      </w:r>
      <w:r w:rsidR="00D07672" w:rsidRPr="006968A0">
        <w:t>19</w:t>
      </w:r>
      <w:r w:rsidRPr="006968A0">
        <w:t>. De anvendte fortjenester per præsteret time er derfor fremskrevet til 20</w:t>
      </w:r>
      <w:r w:rsidR="00E44DB0" w:rsidRPr="006968A0">
        <w:t>21</w:t>
      </w:r>
      <w:r w:rsidRPr="006968A0">
        <w:t xml:space="preserve"> niveauet med lønudviklingen i </w:t>
      </w:r>
      <w:r w:rsidR="00371964">
        <w:t>transport</w:t>
      </w:r>
      <w:r w:rsidRPr="006968A0">
        <w:t>branche</w:t>
      </w:r>
      <w:r w:rsidR="00371964">
        <w:t>n</w:t>
      </w:r>
      <w:r w:rsidRPr="00E3598C">
        <w:t>.</w:t>
      </w:r>
      <w:r w:rsidR="00176112">
        <w:rPr>
          <w:rStyle w:val="FootnoteReference"/>
        </w:rPr>
        <w:footnoteReference w:id="19"/>
      </w:r>
      <w:r w:rsidR="00005AF9">
        <w:t xml:space="preserve"> </w:t>
      </w:r>
    </w:p>
    <w:p w14:paraId="2CE2E4F2" w14:textId="32D9332B" w:rsidR="00F36A10" w:rsidRDefault="00F563C2" w:rsidP="00F563C2">
      <w:pPr>
        <w:pStyle w:val="Heading2"/>
      </w:pPr>
      <w:bookmarkStart w:id="35" w:name="_Toc88834878"/>
      <w:r>
        <w:t>Kapacitetsomkostninger</w:t>
      </w:r>
      <w:bookmarkEnd w:id="35"/>
    </w:p>
    <w:p w14:paraId="782A4916" w14:textId="5452E717" w:rsidR="00F563C2" w:rsidRDefault="00F563C2" w:rsidP="00F563C2">
      <w:pPr>
        <w:pStyle w:val="BodyText"/>
      </w:pPr>
      <w:r>
        <w:t>Som e</w:t>
      </w:r>
      <w:r w:rsidRPr="00A72DB3">
        <w:t xml:space="preserve">n af de faste tidsafhængige omkostningskomponenter for vare- og lastbiler </w:t>
      </w:r>
      <w:r>
        <w:t>indgår også en del af virksomhedens k</w:t>
      </w:r>
      <w:r w:rsidRPr="00A72DB3">
        <w:t>apacitetsomkostninger</w:t>
      </w:r>
      <w:r>
        <w:t xml:space="preserve">. </w:t>
      </w:r>
    </w:p>
    <w:p w14:paraId="0942CDC0" w14:textId="6475FA5F" w:rsidR="00F563C2" w:rsidRDefault="00F563C2" w:rsidP="00F563C2">
      <w:pPr>
        <w:pStyle w:val="BodyText"/>
      </w:pPr>
      <w:r>
        <w:t>Kapacitetsomkostninger omfatter primært udgifter til administration dvs. lønninger (dog ikke chaufførlønninger), kontor, husleje, reklame og annoncer, revisor, advokat, maskiner, telefon mv.</w:t>
      </w:r>
    </w:p>
    <w:p w14:paraId="62DC02DC" w14:textId="77777777" w:rsidR="00F563C2" w:rsidRPr="0095571F" w:rsidRDefault="00F563C2" w:rsidP="00F563C2">
      <w:pPr>
        <w:pStyle w:val="MarginFrame"/>
        <w:framePr w:wrap="around"/>
      </w:pPr>
      <w:r>
        <w:t>Vare</w:t>
      </w:r>
      <w:r w:rsidRPr="0095571F">
        <w:t>biler</w:t>
      </w:r>
    </w:p>
    <w:p w14:paraId="2D669009" w14:textId="77777777" w:rsidR="00F563C2" w:rsidRDefault="00F563C2" w:rsidP="00F563C2">
      <w:pPr>
        <w:pStyle w:val="BodyText"/>
      </w:pPr>
      <w:r>
        <w:t>For varebiler antages som udgangspunkt at kapacitetsomkostningerne er de samme, uanset om der er tale om en lille, mellem eller stor varebil.</w:t>
      </w:r>
    </w:p>
    <w:p w14:paraId="52B06224" w14:textId="77777777" w:rsidR="00F563C2" w:rsidRPr="0095571F" w:rsidRDefault="00F563C2" w:rsidP="00F563C2">
      <w:pPr>
        <w:pStyle w:val="MarginFrame"/>
        <w:framePr w:wrap="around"/>
      </w:pPr>
      <w:r>
        <w:t>Last</w:t>
      </w:r>
      <w:r w:rsidRPr="0095571F">
        <w:t>biler</w:t>
      </w:r>
    </w:p>
    <w:p w14:paraId="53B1D3BF" w14:textId="77777777" w:rsidR="00F563C2" w:rsidRDefault="00F563C2" w:rsidP="00F563C2">
      <w:pPr>
        <w:pStyle w:val="BodyText"/>
      </w:pPr>
      <w:r>
        <w:t>For lastbiler antages</w:t>
      </w:r>
      <w:r w:rsidRPr="00E1038F">
        <w:t xml:space="preserve"> </w:t>
      </w:r>
      <w:r>
        <w:t>kapacitetsomkostningerne til gengæld at variere, med lastbilens størrelse og anvendelse. Dog med den tilføjelse at lastbiler med anhænger, sættevogntog og modulvogntog antages at have samme</w:t>
      </w:r>
      <w:r w:rsidRPr="00E1038F">
        <w:t xml:space="preserve"> </w:t>
      </w:r>
      <w:r>
        <w:t>kapacitetsomkostninger.</w:t>
      </w:r>
    </w:p>
    <w:p w14:paraId="681529F7" w14:textId="09FCE575" w:rsidR="00F563C2" w:rsidRDefault="00F563C2" w:rsidP="00F563C2">
      <w:pPr>
        <w:pStyle w:val="BodyText"/>
      </w:pPr>
      <w:r w:rsidRPr="00DD0767">
        <w:t xml:space="preserve">I alle tilfælde baseres kapacitetsomkostningernes størrelse på de </w:t>
      </w:r>
      <w:r w:rsidR="00252DAF">
        <w:t xml:space="preserve">omkostninger, der </w:t>
      </w:r>
      <w:r w:rsidR="00C25F22">
        <w:t xml:space="preserve">blev benyttet i 2019 og 2015 </w:t>
      </w:r>
      <w:r w:rsidR="00963794">
        <w:t>opdateringerne</w:t>
      </w:r>
      <w:r w:rsidRPr="00DD0767">
        <w:t>, dog fremskrevet t</w:t>
      </w:r>
      <w:r w:rsidRPr="006C5F02">
        <w:t>il 20</w:t>
      </w:r>
      <w:r w:rsidR="001442D5" w:rsidRPr="006C5F02">
        <w:t>21</w:t>
      </w:r>
      <w:r w:rsidRPr="006C5F02">
        <w:t xml:space="preserve"> niveau ved hjælp af Danmarks </w:t>
      </w:r>
      <w:proofErr w:type="spellStart"/>
      <w:r w:rsidRPr="006C5F02">
        <w:t>Statistik’s</w:t>
      </w:r>
      <w:proofErr w:type="spellEnd"/>
      <w:r w:rsidRPr="006C5F02">
        <w:t xml:space="preserve"> nettoprisindeks.</w:t>
      </w:r>
    </w:p>
    <w:p w14:paraId="3933169E" w14:textId="3BDC3A94" w:rsidR="00F563C2" w:rsidRDefault="00F563C2" w:rsidP="00F563C2">
      <w:pPr>
        <w:pStyle w:val="Heading2"/>
      </w:pPr>
      <w:bookmarkStart w:id="36" w:name="_Ref88750528"/>
      <w:bookmarkStart w:id="37" w:name="_Toc88834879"/>
      <w:r>
        <w:t>Afgifter</w:t>
      </w:r>
      <w:bookmarkEnd w:id="36"/>
      <w:bookmarkEnd w:id="37"/>
    </w:p>
    <w:p w14:paraId="452894EF" w14:textId="4D6CEB71" w:rsidR="00CD4386" w:rsidRDefault="00CD4386" w:rsidP="00CD4386">
      <w:pPr>
        <w:pStyle w:val="BodyText"/>
      </w:pPr>
      <w:r>
        <w:t xml:space="preserve">Modellen indregner registreringsafgifter, grøn ejerafgift, </w:t>
      </w:r>
      <w:r w:rsidR="003B2FB4">
        <w:t xml:space="preserve">CO₂ afgift, </w:t>
      </w:r>
      <w:r>
        <w:t>udligningsafgift og vægtafgift og moms.</w:t>
      </w:r>
    </w:p>
    <w:p w14:paraId="40E66FA3" w14:textId="77777777" w:rsidR="00CD4386" w:rsidRDefault="00CD4386" w:rsidP="00CD4386">
      <w:pPr>
        <w:pStyle w:val="BodyText"/>
      </w:pPr>
      <w:r>
        <w:t>Registreringsafgift på person- og varebiler er beregnet på baggrund ad bilernes nypris på købstidspunktet. Derfra er der regnet baglæns med de på det pågældende tidspunkt regler og satser for derved at finde bilprisen uden afgifter og moms.</w:t>
      </w:r>
    </w:p>
    <w:p w14:paraId="6F4DFEC0" w14:textId="7F4999CD" w:rsidR="007B1271" w:rsidRDefault="007B1271" w:rsidP="00CD4386">
      <w:pPr>
        <w:pStyle w:val="BodyText"/>
      </w:pPr>
      <w:r>
        <w:t xml:space="preserve">Modellen er opdateret, så den tager </w:t>
      </w:r>
      <w:r w:rsidR="00F04719">
        <w:t xml:space="preserve">de seneste ændringer i afgifterne fra 2021 ind. Konkret </w:t>
      </w:r>
      <w:r w:rsidR="00D02348">
        <w:t xml:space="preserve">pålægges registreringsafgiften </w:t>
      </w:r>
      <w:r w:rsidR="00485565">
        <w:t xml:space="preserve">på bilerne ud fra det år de er indregistreret. Da modellen </w:t>
      </w:r>
      <w:r w:rsidR="009C620A">
        <w:t xml:space="preserve">er opdateret så </w:t>
      </w:r>
      <w:r w:rsidR="00220E19">
        <w:t xml:space="preserve">den kan benyttes til også at beregne omkostningerne for fremtidige år, </w:t>
      </w:r>
      <w:r w:rsidR="00A91BCF">
        <w:t xml:space="preserve">er der indlagt de aftalte ændringer i afgifterne (registreringsafgifter, </w:t>
      </w:r>
      <w:r w:rsidR="007B5A55">
        <w:t xml:space="preserve">grønne </w:t>
      </w:r>
      <w:r w:rsidR="002B1153">
        <w:t xml:space="preserve">ejerafgifter </w:t>
      </w:r>
      <w:r w:rsidR="007B5A55">
        <w:t xml:space="preserve">og CO₂ afgifter) med de satser, der </w:t>
      </w:r>
      <w:r w:rsidR="00E56EA4">
        <w:t xml:space="preserve">indføres i </w:t>
      </w:r>
      <w:r w:rsidR="003E4513">
        <w:t>årene frem til 2030.</w:t>
      </w:r>
    </w:p>
    <w:p w14:paraId="648CBDCD" w14:textId="1211FCE1" w:rsidR="003E4513" w:rsidRDefault="003E4513" w:rsidP="00CD4386">
      <w:pPr>
        <w:pStyle w:val="BodyText"/>
      </w:pPr>
      <w:r>
        <w:lastRenderedPageBreak/>
        <w:t xml:space="preserve">I </w:t>
      </w:r>
      <w:r>
        <w:fldChar w:fldCharType="begin"/>
      </w:r>
      <w:r>
        <w:instrText xml:space="preserve"> REF _Ref88747428 \n \h </w:instrText>
      </w:r>
      <w:r>
        <w:fldChar w:fldCharType="separate"/>
      </w:r>
      <w:r>
        <w:t>Bilag A</w:t>
      </w:r>
      <w:r>
        <w:fldChar w:fldCharType="end"/>
      </w:r>
      <w:r w:rsidR="0063056D">
        <w:t xml:space="preserve"> gives detaljerne om afgifterne og de satser, der er indlagt i modellen og beregningerne.</w:t>
      </w:r>
      <w:r w:rsidR="00DA5884">
        <w:t xml:space="preserve"> Herunder gives en kort introduktion til</w:t>
      </w:r>
      <w:r w:rsidR="009E4FAE">
        <w:t xml:space="preserve"> afgifterne og deres anvendelse i modellen.</w:t>
      </w:r>
    </w:p>
    <w:p w14:paraId="62F0A2A8" w14:textId="77777777" w:rsidR="00725574" w:rsidRPr="007326F5" w:rsidRDefault="00725574" w:rsidP="00725574">
      <w:pPr>
        <w:pStyle w:val="Heading3"/>
      </w:pPr>
      <w:r>
        <w:t xml:space="preserve">Konventionelle biler </w:t>
      </w:r>
    </w:p>
    <w:p w14:paraId="449CFA59" w14:textId="5C163B4C" w:rsidR="00725574" w:rsidRDefault="009E4FAE" w:rsidP="00725574">
      <w:pPr>
        <w:pStyle w:val="BodyText"/>
      </w:pPr>
      <w:r>
        <w:t>Der er indført f</w:t>
      </w:r>
      <w:r w:rsidR="00725574">
        <w:t>orenklede regler for nye biler</w:t>
      </w:r>
      <w:r w:rsidR="001F3695">
        <w:t xml:space="preserve">, der </w:t>
      </w:r>
      <w:r w:rsidR="00307E59">
        <w:t>indregistreres fra 2021</w:t>
      </w:r>
      <w:r>
        <w:t>. De</w:t>
      </w:r>
      <w:r w:rsidR="00307E59">
        <w:t xml:space="preserve"> er:</w:t>
      </w:r>
      <w:r w:rsidR="003C3D04">
        <w:t xml:space="preserve"> </w:t>
      </w:r>
    </w:p>
    <w:p w14:paraId="553CF0B6" w14:textId="77777777" w:rsidR="00725574" w:rsidRDefault="00725574" w:rsidP="00725574">
      <w:pPr>
        <w:pStyle w:val="ListBullet"/>
        <w:spacing w:after="280" w:line="280" w:lineRule="atLeast"/>
      </w:pPr>
      <w:r>
        <w:t xml:space="preserve">Registreringsafgift (for nye biler) </w:t>
      </w:r>
    </w:p>
    <w:p w14:paraId="1DEB61CB" w14:textId="77777777" w:rsidR="00725574" w:rsidRDefault="00725574" w:rsidP="00725574">
      <w:pPr>
        <w:pStyle w:val="ListBullet2"/>
        <w:spacing w:after="280" w:line="280" w:lineRule="atLeast"/>
      </w:pPr>
      <w:r>
        <w:t>Andel af nypris – progressiv skala med "knæk"</w:t>
      </w:r>
    </w:p>
    <w:p w14:paraId="6A135CE5" w14:textId="77777777" w:rsidR="00725574" w:rsidRDefault="00725574" w:rsidP="00725574">
      <w:pPr>
        <w:pStyle w:val="ListBullet2"/>
        <w:spacing w:after="280" w:line="280" w:lineRule="atLeast"/>
      </w:pPr>
      <w:r>
        <w:t xml:space="preserve">Bundfradrag </w:t>
      </w:r>
    </w:p>
    <w:p w14:paraId="03DFA738" w14:textId="77777777" w:rsidR="00725574" w:rsidRDefault="00725574" w:rsidP="00725574">
      <w:pPr>
        <w:pStyle w:val="ListBullet2"/>
        <w:spacing w:after="280" w:line="280" w:lineRule="atLeast"/>
      </w:pPr>
      <w:r>
        <w:t>CO₂-tillæg (tillæg for udledning) – progressiv skala med "knæk"</w:t>
      </w:r>
    </w:p>
    <w:p w14:paraId="5ED2BD43" w14:textId="287E41CB" w:rsidR="00F327E9" w:rsidRDefault="00AB401B" w:rsidP="00F327E9">
      <w:pPr>
        <w:pStyle w:val="BodyText"/>
      </w:pPr>
      <w:r>
        <w:t>Derudover betale</w:t>
      </w:r>
      <w:r w:rsidR="00F334B4">
        <w:t>s</w:t>
      </w:r>
      <w:r>
        <w:t xml:space="preserve"> en CO₂ </w:t>
      </w:r>
      <w:r w:rsidR="00EE7C11">
        <w:t>ejer</w:t>
      </w:r>
      <w:r>
        <w:t>afgift</w:t>
      </w:r>
      <w:r w:rsidR="00F334B4">
        <w:t>.</w:t>
      </w:r>
    </w:p>
    <w:p w14:paraId="361EC3A5" w14:textId="74F3D6A3" w:rsidR="00725574" w:rsidRDefault="00A809E5" w:rsidP="00725574">
      <w:pPr>
        <w:pStyle w:val="ListBullet"/>
        <w:spacing w:after="280" w:line="280" w:lineRule="atLeast"/>
      </w:pPr>
      <w:r>
        <w:t>CO₂</w:t>
      </w:r>
      <w:r w:rsidR="00725574">
        <w:t xml:space="preserve">-ejerafgift - </w:t>
      </w:r>
      <w:r w:rsidR="00725574" w:rsidRPr="00031C07">
        <w:t xml:space="preserve">beregnes ud fra, hvor mange gram </w:t>
      </w:r>
      <w:r>
        <w:t xml:space="preserve">CO₂ </w:t>
      </w:r>
      <w:r w:rsidR="00725574" w:rsidRPr="00031C07">
        <w:t>køretøjet udleder pr. kilometer</w:t>
      </w:r>
      <w:r w:rsidR="00725574">
        <w:t>, efter en "trappeskala"</w:t>
      </w:r>
    </w:p>
    <w:p w14:paraId="5544628A" w14:textId="34383476" w:rsidR="00725574" w:rsidRDefault="00B14DD2" w:rsidP="00725574">
      <w:pPr>
        <w:pStyle w:val="BodyText"/>
      </w:pPr>
      <w:r>
        <w:t xml:space="preserve">I </w:t>
      </w:r>
      <w:r w:rsidR="004919AA">
        <w:t>modellen</w:t>
      </w:r>
      <w:r w:rsidR="00365B13">
        <w:t xml:space="preserve"> </w:t>
      </w:r>
      <w:r w:rsidR="00725574">
        <w:t xml:space="preserve">sker der som udgangspunkt ikke </w:t>
      </w:r>
      <w:proofErr w:type="spellStart"/>
      <w:r w:rsidR="00725574">
        <w:t>omberegning</w:t>
      </w:r>
      <w:proofErr w:type="spellEnd"/>
      <w:r w:rsidR="00725574">
        <w:t xml:space="preserve"> af registreringsafgift</w:t>
      </w:r>
      <w:r w:rsidR="00365B13">
        <w:t xml:space="preserve"> for ældre biler</w:t>
      </w:r>
      <w:r w:rsidR="00725574">
        <w:t>, ligesom vægtafgift og grøn ejerafgift fortsætter uændret for køretøjer i relevante aldersklasser. Dog stiger satserne for vægtafgift, grøn ejerafgift og CO2-ejerafgift årligt til og med 2026 (i forhold til 2021-satserne).</w:t>
      </w:r>
    </w:p>
    <w:p w14:paraId="3B851A8E" w14:textId="77777777" w:rsidR="00725574" w:rsidRDefault="00725574" w:rsidP="00725574">
      <w:pPr>
        <w:pStyle w:val="MarginFrame"/>
        <w:framePr w:wrap="around"/>
      </w:pPr>
      <w:r>
        <w:t>Overvejelser</w:t>
      </w:r>
    </w:p>
    <w:p w14:paraId="6BFD1B33" w14:textId="7EF51588" w:rsidR="00725574" w:rsidRDefault="002D084C" w:rsidP="00725574">
      <w:pPr>
        <w:pStyle w:val="BodyText"/>
      </w:pPr>
      <w:r>
        <w:t>Der er p</w:t>
      </w:r>
      <w:r w:rsidR="00725574">
        <w:t xml:space="preserve">rincipielt behov for forventet udvikling i </w:t>
      </w:r>
      <w:r w:rsidR="00D57D27">
        <w:t>CO₂ afgifterne</w:t>
      </w:r>
      <w:r w:rsidR="00725574">
        <w:t xml:space="preserve"> for (et vægtet gennemsnit af) nye biler.</w:t>
      </w:r>
      <w:r w:rsidR="00D57D27">
        <w:t xml:space="preserve"> Der er en </w:t>
      </w:r>
      <w:r w:rsidR="00725574">
        <w:t>forventet udvikling i CO₂-udledning per kilometer (afledt af brændstof-effektivitet) – såvel for nye biler, som for et vægtet gennemsnit af alle bilerne efterhånden som bestandens sammensætning ændrer sig (nye kommer til og gamle skrottes).</w:t>
      </w:r>
    </w:p>
    <w:p w14:paraId="6809698A" w14:textId="0F9C9EBB" w:rsidR="00725574" w:rsidRDefault="006C5915" w:rsidP="00725574">
      <w:pPr>
        <w:pStyle w:val="BodyText"/>
      </w:pPr>
      <w:r>
        <w:t xml:space="preserve">Modellen tager </w:t>
      </w:r>
      <w:r w:rsidR="004A3E0C">
        <w:t>udviklingen i sammensætningen af bilparken ind for så vidt ang</w:t>
      </w:r>
      <w:r w:rsidR="00C23226">
        <w:t>å</w:t>
      </w:r>
      <w:r w:rsidR="004A3E0C">
        <w:t>r skrotningen af gamle biler</w:t>
      </w:r>
      <w:r w:rsidR="00C23226">
        <w:t>. Derimod er der ikke indarbejdet prognoser for den forventede udvikling i fremtidige bilers energieffektivitet</w:t>
      </w:r>
      <w:r w:rsidR="003A1649">
        <w:t xml:space="preserve">. Det antages </w:t>
      </w:r>
      <w:r w:rsidR="00E14960">
        <w:t>generelt, at alle nye biler (efter 2021) er de samme som i 2021</w:t>
      </w:r>
      <w:r w:rsidR="00CC5D7D">
        <w:t xml:space="preserve">. Det er derfor </w:t>
      </w:r>
      <w:proofErr w:type="gramStart"/>
      <w:r w:rsidR="00934AB7">
        <w:t>relevant,</w:t>
      </w:r>
      <w:proofErr w:type="gramEnd"/>
      <w:r w:rsidR="00934AB7">
        <w:t xml:space="preserve"> at have in mente, når modellen benyttes til at fastlægge kørselsafgifterne i 2022 og fremefter.</w:t>
      </w:r>
    </w:p>
    <w:p w14:paraId="4C22B045" w14:textId="77777777" w:rsidR="00725574" w:rsidRDefault="00725574" w:rsidP="00350AF4">
      <w:pPr>
        <w:pStyle w:val="Heading3"/>
      </w:pPr>
      <w:r w:rsidRPr="00031C07">
        <w:t>Nye regler for el- og plug-in-hybridbiler mv.</w:t>
      </w:r>
    </w:p>
    <w:p w14:paraId="69D11870" w14:textId="5CA933B8" w:rsidR="00725574" w:rsidRDefault="00934AB7" w:rsidP="00725574">
      <w:pPr>
        <w:pStyle w:val="BodyText"/>
      </w:pPr>
      <w:r>
        <w:t xml:space="preserve">Der er endvidere kommet nye afgifter for </w:t>
      </w:r>
      <w:r w:rsidR="00BA0881">
        <w:t>el- og plugin-hybridbiler</w:t>
      </w:r>
      <w:r w:rsidR="00831306">
        <w:t xml:space="preserve">. </w:t>
      </w:r>
      <w:r w:rsidR="00725574">
        <w:t xml:space="preserve">Disse biler skal fremover afgiftsbelægges efter samme regler som skitseret ovenfor. Både for så vidt angår </w:t>
      </w:r>
      <w:bookmarkStart w:id="38" w:name="_Hlk83739583"/>
      <w:r w:rsidR="00725574">
        <w:t xml:space="preserve">registreringsafgiften </w:t>
      </w:r>
      <w:bookmarkEnd w:id="38"/>
      <w:r w:rsidR="00725574">
        <w:t>og for så vidt angår CO₂-ejerafgiften.</w:t>
      </w:r>
    </w:p>
    <w:p w14:paraId="15A36492" w14:textId="77777777" w:rsidR="00725574" w:rsidRPr="001E3A24" w:rsidRDefault="00725574" w:rsidP="00725574">
      <w:pPr>
        <w:pStyle w:val="BodyText"/>
      </w:pPr>
      <w:r w:rsidRPr="001E3A24">
        <w:rPr>
          <w:b/>
          <w:bCs/>
        </w:rPr>
        <w:t>Gradvis indfasning af registreringsafgift</w:t>
      </w:r>
    </w:p>
    <w:p w14:paraId="3855ED63" w14:textId="55A0332E" w:rsidR="00725574" w:rsidRDefault="00725574" w:rsidP="00725574">
      <w:pPr>
        <w:pStyle w:val="BodyText"/>
      </w:pPr>
      <w:r>
        <w:t xml:space="preserve">Der </w:t>
      </w:r>
      <w:r w:rsidR="002D62CA">
        <w:t>er</w:t>
      </w:r>
      <w:r>
        <w:t xml:space="preserve"> dog blive tale om nogle overgangsregler i forbindelse med</w:t>
      </w:r>
      <w:r w:rsidR="002D62CA">
        <w:t>,</w:t>
      </w:r>
      <w:r>
        <w:t xml:space="preserve"> at de nye regler for </w:t>
      </w:r>
      <w:r w:rsidRPr="001E3A24">
        <w:t>registreringsafgiften</w:t>
      </w:r>
      <w:r>
        <w:t xml:space="preserve"> gradvist indfases samtidig med at tidligere opnåede særfradrag aftrappes. Denne indfasning/aftrapning sker over en relativt lang periode fra 2021-2035.</w:t>
      </w:r>
    </w:p>
    <w:p w14:paraId="5380B938" w14:textId="77777777" w:rsidR="00725574" w:rsidRDefault="00725574" w:rsidP="00725574">
      <w:pPr>
        <w:pStyle w:val="BodyText"/>
      </w:pPr>
      <w:r>
        <w:lastRenderedPageBreak/>
        <w:t>I forbindelse med overgangsordningen skelnes mellem såkaldte nulemissionsbiler (el- og brændselscellebiler) henholdsvis lavemissionsbiler (plugin hybridbiler).</w:t>
      </w:r>
    </w:p>
    <w:p w14:paraId="0C4E7369" w14:textId="77777777" w:rsidR="00725574" w:rsidRDefault="00725574" w:rsidP="00725574">
      <w:pPr>
        <w:pStyle w:val="BodyText"/>
        <w:rPr>
          <w:u w:val="single"/>
        </w:rPr>
      </w:pPr>
      <w:r w:rsidRPr="0046228B">
        <w:rPr>
          <w:u w:val="single"/>
        </w:rPr>
        <w:t>Nul-emissionsbiler og el- eller brændselscelledrevne motorcykler</w:t>
      </w:r>
    </w:p>
    <w:p w14:paraId="38AE435C" w14:textId="729ED01F" w:rsidR="00725574" w:rsidRDefault="00725574" w:rsidP="00725574">
      <w:pPr>
        <w:pStyle w:val="BodyText"/>
      </w:pPr>
      <w:r>
        <w:t>Fra og med den 18. december 2020 til og med den 31. december 2025 beregnes registreringsafgiften som 40 pct. af afgiften efter de almindelige regler, hvor efter afgiften</w:t>
      </w:r>
      <w:r w:rsidRPr="001E3A24">
        <w:t xml:space="preserve"> indfas</w:t>
      </w:r>
      <w:r>
        <w:t>es samtidig med nedtrapning af særlige fradrag mv. fra og med 2026 til 2035</w:t>
      </w:r>
      <w:r w:rsidR="0089379B">
        <w:t>.</w:t>
      </w:r>
    </w:p>
    <w:p w14:paraId="105AED74" w14:textId="77777777" w:rsidR="00725574" w:rsidRPr="00D723BB" w:rsidRDefault="00725574" w:rsidP="00725574">
      <w:pPr>
        <w:pStyle w:val="BodyText"/>
      </w:pPr>
      <w:r w:rsidRPr="0046228B">
        <w:rPr>
          <w:u w:val="single"/>
        </w:rPr>
        <w:t>Lav-emissionsbiler</w:t>
      </w:r>
    </w:p>
    <w:p w14:paraId="0B542421" w14:textId="5D2B533E" w:rsidR="00725574" w:rsidRPr="0046228B" w:rsidRDefault="00725574" w:rsidP="00725574">
      <w:pPr>
        <w:pStyle w:val="BodyText"/>
        <w:rPr>
          <w:u w:val="single"/>
        </w:rPr>
      </w:pPr>
      <w:r w:rsidRPr="00D723BB">
        <w:t>Fra og med den 18. december 2020 til og med den 31. december 2021 beregnes registreringsafgiften her som 45 pct. af afgiften efter de almindelige regler</w:t>
      </w:r>
      <w:r>
        <w:t>, hvor efter afgiften</w:t>
      </w:r>
      <w:r w:rsidRPr="001E3A24">
        <w:t xml:space="preserve"> indfas</w:t>
      </w:r>
      <w:r>
        <w:t xml:space="preserve">es samtidig med nedtrapning af særlige fradrag mv. </w:t>
      </w:r>
      <w:r w:rsidRPr="00D723BB">
        <w:t>fra og med 202</w:t>
      </w:r>
      <w:r>
        <w:t>2</w:t>
      </w:r>
      <w:r w:rsidRPr="00D723BB">
        <w:t xml:space="preserve"> til 2035</w:t>
      </w:r>
      <w:r w:rsidR="002A677D">
        <w:t>.</w:t>
      </w:r>
    </w:p>
    <w:p w14:paraId="35FAC72D" w14:textId="77777777" w:rsidR="00725574" w:rsidRDefault="00725574" w:rsidP="00725574">
      <w:pPr>
        <w:pStyle w:val="BodyText"/>
      </w:pPr>
    </w:p>
    <w:p w14:paraId="70B7E43C" w14:textId="77777777" w:rsidR="00725574" w:rsidRDefault="00725574" w:rsidP="00725574">
      <w:pPr>
        <w:pStyle w:val="BodyText"/>
      </w:pPr>
      <w:r>
        <w:br w:type="page"/>
      </w:r>
    </w:p>
    <w:p w14:paraId="01AF6C60" w14:textId="77777777" w:rsidR="00725574" w:rsidRDefault="00725574" w:rsidP="00CD4386">
      <w:pPr>
        <w:pStyle w:val="BodyText"/>
      </w:pPr>
    </w:p>
    <w:p w14:paraId="106C86EE" w14:textId="08E0495B" w:rsidR="00990341" w:rsidRPr="00990341" w:rsidRDefault="007203B3" w:rsidP="00D1490A">
      <w:pPr>
        <w:pStyle w:val="Heading1"/>
      </w:pPr>
      <w:bookmarkStart w:id="39" w:name="_Ref88750809"/>
      <w:bookmarkStart w:id="40" w:name="_Toc88834880"/>
      <w:r>
        <w:t>Fremskrivning af kørselsomkostninger</w:t>
      </w:r>
      <w:bookmarkEnd w:id="39"/>
      <w:bookmarkEnd w:id="40"/>
    </w:p>
    <w:p w14:paraId="43261EC8" w14:textId="77BD4BBA" w:rsidR="00F13882" w:rsidRDefault="005103CF" w:rsidP="005103CF">
      <w:pPr>
        <w:pStyle w:val="BodyText"/>
      </w:pPr>
      <w:r>
        <w:t>Som følge af</w:t>
      </w:r>
      <w:r w:rsidR="003F4BC1">
        <w:t>,</w:t>
      </w:r>
      <w:r>
        <w:t xml:space="preserve"> at afgifterne ændrer sig årligt fra 2021 og fremefter, er der i modellen indarbejdet en dynamik, der tager forbehold for disse ændringer. I resultat</w:t>
      </w:r>
      <w:r w:rsidR="00F13882">
        <w:t>arket på i den forreste fane, er det muligt at indtaste et givent år og dermed se resultaterne med afgifter beregnet for det år.</w:t>
      </w:r>
    </w:p>
    <w:p w14:paraId="04CC6B0E" w14:textId="66913F44" w:rsidR="00853F43" w:rsidRDefault="00F13882" w:rsidP="005103CF">
      <w:pPr>
        <w:pStyle w:val="BodyText"/>
      </w:pPr>
      <w:r>
        <w:t xml:space="preserve">For at kunne indarbejde dynamikken har det være nødvendigt at </w:t>
      </w:r>
      <w:r w:rsidR="00E32EBD">
        <w:t xml:space="preserve">udvide modellen. Derfor er der i hver ark nu tre store tabeller, hvor der for hver bilkategori er </w:t>
      </w:r>
      <w:r w:rsidR="004965F1">
        <w:t>minds</w:t>
      </w:r>
      <w:r w:rsidR="00CC0165">
        <w:t xml:space="preserve">t </w:t>
      </w:r>
      <w:r w:rsidR="00E32EBD">
        <w:t xml:space="preserve">3 repræsentative biler. </w:t>
      </w:r>
      <w:r w:rsidR="00CC0165">
        <w:t xml:space="preserve">Bortset fra bilkategorierne </w:t>
      </w:r>
      <w:r w:rsidR="00246B22">
        <w:t>elbiler og plugin-hybridbiler, er der repræsentative biler fra 2007, 2011, 2015, 2019 og 2021</w:t>
      </w:r>
      <w:r w:rsidR="00853F43">
        <w:t xml:space="preserve">. For de sidste kategorier, er der kun observerede repræsentative biler for 2019 og 2021. </w:t>
      </w:r>
    </w:p>
    <w:p w14:paraId="2452A66B" w14:textId="0DACF035" w:rsidR="009D414A" w:rsidRDefault="00E32EBD" w:rsidP="005103CF">
      <w:pPr>
        <w:pStyle w:val="BodyText"/>
      </w:pPr>
      <w:r>
        <w:t xml:space="preserve">Der er en inputtabel, hvor der er angivet bl.a. bilpriser, </w:t>
      </w:r>
      <w:r w:rsidR="006975A2">
        <w:t xml:space="preserve">dækpriser, </w:t>
      </w:r>
      <w:r w:rsidR="008161BA">
        <w:t xml:space="preserve">levetid, </w:t>
      </w:r>
      <w:r w:rsidR="003A1972">
        <w:t>vedligeholdelsesomkostninger</w:t>
      </w:r>
      <w:r w:rsidR="008161BA">
        <w:t xml:space="preserve"> mm. </w:t>
      </w:r>
      <w:r w:rsidR="00E9295E">
        <w:t>Fra denne tabel trækker en anden tabel inputdata</w:t>
      </w:r>
      <w:r w:rsidR="002863EB">
        <w:t xml:space="preserve"> for de enkelte årgange af biler</w:t>
      </w:r>
      <w:r w:rsidR="00E9295E">
        <w:t xml:space="preserve"> afhængig efter, hvilket år, der er valgt at regne på. Det vil sige, at en bil, der i 2021 er </w:t>
      </w:r>
      <w:r w:rsidR="004C7B4E">
        <w:t xml:space="preserve">2 år gammel (altså fra 2019), vil i 2030 repræsentere en bil, der er 11 gammel. 2021 bilerne er repræsentative for alle år efter 2021. Det betyder, at den repræsentative 2021 bil optræder i alle aldersklasser fra 2021 til 2030, mens </w:t>
      </w:r>
      <w:r w:rsidR="009D414A">
        <w:t xml:space="preserve">biler fra 2007 ikke længere er med i modellen, når år 2030 vælges. </w:t>
      </w:r>
    </w:p>
    <w:p w14:paraId="66E5D419" w14:textId="77777777" w:rsidR="0061070D" w:rsidRDefault="00422069" w:rsidP="005103CF">
      <w:pPr>
        <w:pStyle w:val="BodyText"/>
      </w:pPr>
      <w:r>
        <w:t>For at vægte bilern</w:t>
      </w:r>
      <w:r w:rsidR="0046657C">
        <w:t>e sammen er der udregnet en andel af det samlede trafikarbejde.</w:t>
      </w:r>
      <w:r w:rsidR="00F13882">
        <w:t xml:space="preserve"> </w:t>
      </w:r>
      <w:r w:rsidR="00735927">
        <w:t xml:space="preserve">Det er udregnet ved at tage det samlede antal af biler i de forskellige aldersklasser for de forskellige kategorier og gange med årskørslen for disse. </w:t>
      </w:r>
      <w:r w:rsidR="00093096">
        <w:t xml:space="preserve">Igen vil alle år efter 2021 være repræsenteret ved den sammensætning af biler, der er i bilparken i dag. </w:t>
      </w:r>
      <w:r w:rsidR="00F567ED">
        <w:t xml:space="preserve">Det vil sige, at hvis det er valgt at regne på 2030, så vil der </w:t>
      </w:r>
      <w:r w:rsidR="00361A31">
        <w:t xml:space="preserve">i 2030 </w:t>
      </w:r>
      <w:r w:rsidR="00F567ED">
        <w:t>være det antal 0</w:t>
      </w:r>
      <w:r w:rsidR="00361A31">
        <w:t>-</w:t>
      </w:r>
      <w:r w:rsidR="00F567ED">
        <w:t xml:space="preserve">årige biler i hver kategori, som der var i 2021. </w:t>
      </w:r>
      <w:r w:rsidR="00A66F18">
        <w:t xml:space="preserve">På samme måde vil </w:t>
      </w:r>
      <w:r w:rsidR="00D1490A">
        <w:t xml:space="preserve">antallet af biler fra </w:t>
      </w:r>
      <w:r w:rsidR="00A66F18">
        <w:t>202</w:t>
      </w:r>
      <w:r w:rsidR="00D1490A">
        <w:t>1</w:t>
      </w:r>
      <w:r w:rsidR="00A66F18">
        <w:t>-202</w:t>
      </w:r>
      <w:r w:rsidR="00D1490A">
        <w:t xml:space="preserve">9 være repræsenteret ved antallet af købte biler i 2021, dog korrigeret for, at der hvert år skrottes en andel af bilerne. </w:t>
      </w:r>
    </w:p>
    <w:p w14:paraId="4AFAA156" w14:textId="06D15D93" w:rsidR="00F13882" w:rsidRPr="007203B3" w:rsidRDefault="00D1490A" w:rsidP="005103CF">
      <w:pPr>
        <w:pStyle w:val="BodyText"/>
      </w:pPr>
      <w:r>
        <w:t xml:space="preserve">Skrotraten er beregnet på baggrund af aldersklasser og </w:t>
      </w:r>
      <w:proofErr w:type="spellStart"/>
      <w:r>
        <w:t>DTUs</w:t>
      </w:r>
      <w:proofErr w:type="spellEnd"/>
      <w:r>
        <w:t xml:space="preserve"> klimafremskrivning.</w:t>
      </w:r>
      <w:r w:rsidR="00426937">
        <w:t xml:space="preserve"> Skrotraten angiver, hvor mange biler, der vil være tilbage af en udvalgt årgang af bilerne, når årgangen er blevet et år ældre. </w:t>
      </w:r>
      <w:r w:rsidR="00FB0DD6">
        <w:t xml:space="preserve"> </w:t>
      </w:r>
    </w:p>
    <w:p w14:paraId="0AC01556" w14:textId="112D7A8B" w:rsidR="00F563C2" w:rsidRDefault="00CD4386" w:rsidP="00CD4386">
      <w:pPr>
        <w:pStyle w:val="Heading1"/>
      </w:pPr>
      <w:bookmarkStart w:id="41" w:name="_Toc88834881"/>
      <w:r>
        <w:t>Sammenligning med tidligere enhedsomkostninger</w:t>
      </w:r>
      <w:bookmarkEnd w:id="41"/>
    </w:p>
    <w:p w14:paraId="28A67370" w14:textId="4B4B2135" w:rsidR="00CD4386" w:rsidRDefault="00CD4386" w:rsidP="00CD4386">
      <w:pPr>
        <w:pStyle w:val="BodyText"/>
      </w:pPr>
      <w:r>
        <w:t xml:space="preserve">I dette afsnit sammenlignes resultaterne fra de opdaterede enhedsomkostninger med de enhedsomkostninger, der har været beregnet i </w:t>
      </w:r>
      <w:r w:rsidR="00F954A0">
        <w:t>201</w:t>
      </w:r>
      <w:r w:rsidR="00862B38">
        <w:t>6</w:t>
      </w:r>
      <w:r>
        <w:t>.</w:t>
      </w:r>
      <w:r w:rsidR="006C68F1">
        <w:t xml:space="preserve"> </w:t>
      </w:r>
    </w:p>
    <w:p w14:paraId="437BD8CD" w14:textId="6A42E877" w:rsidR="00CD4386" w:rsidRPr="00CD4386" w:rsidRDefault="00CD4386" w:rsidP="00CD4386">
      <w:pPr>
        <w:pStyle w:val="Heading2"/>
      </w:pPr>
      <w:bookmarkStart w:id="42" w:name="_Toc88834882"/>
      <w:r>
        <w:t>Personbiler</w:t>
      </w:r>
      <w:bookmarkEnd w:id="42"/>
    </w:p>
    <w:p w14:paraId="60EE1DD4" w14:textId="28DDB0E4" w:rsidR="00CD4386" w:rsidRDefault="00CD4386" w:rsidP="00CD4386">
      <w:pPr>
        <w:pStyle w:val="BodyText"/>
      </w:pPr>
      <w:r w:rsidRPr="00862B38">
        <w:fldChar w:fldCharType="begin"/>
      </w:r>
      <w:r w:rsidRPr="00862B38">
        <w:instrText xml:space="preserve"> REF _Ref454436045 \h  \* MERGEFORMAT </w:instrText>
      </w:r>
      <w:r w:rsidR="00DD30C5">
        <w:fldChar w:fldCharType="separate"/>
      </w:r>
      <w:r w:rsidR="00DD30C5" w:rsidRPr="00F954A0">
        <w:t xml:space="preserve">Figur </w:t>
      </w:r>
      <w:r w:rsidR="00DD30C5">
        <w:rPr>
          <w:noProof/>
        </w:rPr>
        <w:t>7</w:t>
      </w:r>
      <w:r w:rsidR="00DD30C5" w:rsidRPr="00F954A0">
        <w:noBreakHyphen/>
      </w:r>
      <w:r w:rsidR="00DD30C5">
        <w:rPr>
          <w:noProof/>
        </w:rPr>
        <w:t>1</w:t>
      </w:r>
      <w:r w:rsidR="00DD30C5" w:rsidRPr="00F954A0">
        <w:t xml:space="preserve"> </w:t>
      </w:r>
      <w:r w:rsidR="00DD30C5">
        <w:tab/>
      </w:r>
      <w:r w:rsidR="00DD30C5" w:rsidRPr="00F954A0">
        <w:t xml:space="preserve">Sammenligning med tidligere version for </w:t>
      </w:r>
      <w:proofErr w:type="spellStart"/>
      <w:r w:rsidR="00DD30C5" w:rsidRPr="00F954A0">
        <w:t>personbiler</w:t>
      </w:r>
      <w:r w:rsidRPr="00862B38">
        <w:fldChar w:fldCharType="end"/>
      </w:r>
      <w:r w:rsidRPr="00862B38">
        <w:fldChar w:fldCharType="begin"/>
      </w:r>
      <w:r w:rsidRPr="00862B38">
        <w:instrText xml:space="preserve"> REF _Ref454533399 \h  \* MERGEFORMAT </w:instrText>
      </w:r>
      <w:r w:rsidRPr="00862B38">
        <w:fldChar w:fldCharType="separate"/>
      </w:r>
      <w:r w:rsidR="00DD30C5" w:rsidRPr="00F954A0">
        <w:t>Figur</w:t>
      </w:r>
      <w:proofErr w:type="spellEnd"/>
      <w:r w:rsidR="00DD30C5" w:rsidRPr="00F954A0">
        <w:t xml:space="preserve"> </w:t>
      </w:r>
      <w:r w:rsidR="00DD30C5">
        <w:rPr>
          <w:noProof/>
        </w:rPr>
        <w:t>7</w:t>
      </w:r>
      <w:r w:rsidR="00DD30C5" w:rsidRPr="00F954A0">
        <w:rPr>
          <w:noProof/>
        </w:rPr>
        <w:noBreakHyphen/>
      </w:r>
      <w:r w:rsidR="00DD30C5">
        <w:rPr>
          <w:noProof/>
        </w:rPr>
        <w:t>1</w:t>
      </w:r>
      <w:r w:rsidRPr="00862B38">
        <w:fldChar w:fldCharType="end"/>
      </w:r>
      <w:r w:rsidRPr="00862B38">
        <w:t xml:space="preserve"> viser en sammenligning mellem de opdaterede kør</w:t>
      </w:r>
      <w:r>
        <w:t>selsomkostninger og kørselsomkostningerne fra den tidligere version for personbiler.</w:t>
      </w:r>
    </w:p>
    <w:p w14:paraId="29FB253C" w14:textId="3E515DEE" w:rsidR="00CD4386" w:rsidRPr="00F954A0" w:rsidRDefault="00CD4386" w:rsidP="00CD4386">
      <w:pPr>
        <w:pStyle w:val="BodyText"/>
      </w:pPr>
      <w:r>
        <w:lastRenderedPageBreak/>
        <w:t xml:space="preserve">Figuren viser både de gennemsnitlige og de marginale kørselsomkostninger, ligesom kørselsomkostningerne </w:t>
      </w:r>
      <w:r w:rsidRPr="00F954A0">
        <w:t>også er beregnet både med og uden afgifter.</w:t>
      </w:r>
    </w:p>
    <w:p w14:paraId="22D032C2" w14:textId="3E04F88E" w:rsidR="00CD4386" w:rsidRDefault="00CD4386" w:rsidP="00CD4386">
      <w:pPr>
        <w:pStyle w:val="Caption"/>
      </w:pPr>
      <w:bookmarkStart w:id="43" w:name="_Ref454533399"/>
      <w:bookmarkStart w:id="44" w:name="_Ref454436045"/>
      <w:r w:rsidRPr="00F954A0">
        <w:t xml:space="preserve">Figur </w:t>
      </w:r>
      <w:fldSimple w:instr=" STYLEREF 1 \s ">
        <w:r w:rsidR="00DD30C5">
          <w:rPr>
            <w:noProof/>
          </w:rPr>
          <w:t>7</w:t>
        </w:r>
      </w:fldSimple>
      <w:r w:rsidRPr="00F954A0">
        <w:noBreakHyphen/>
      </w:r>
      <w:fldSimple w:instr=" SEQ Figur \* ARABIC \s 1 ">
        <w:r w:rsidR="00DD30C5">
          <w:rPr>
            <w:noProof/>
          </w:rPr>
          <w:t>1</w:t>
        </w:r>
      </w:fldSimple>
      <w:bookmarkEnd w:id="43"/>
      <w:r w:rsidRPr="00F954A0">
        <w:t xml:space="preserve"> </w:t>
      </w:r>
      <w:r w:rsidR="00E551E5">
        <w:tab/>
      </w:r>
      <w:r w:rsidRPr="00F954A0">
        <w:t>Sammenligning med tidligere version for personbiler</w:t>
      </w:r>
      <w:bookmarkEnd w:id="44"/>
      <w:r w:rsidR="00E06AFB">
        <w:t>, 2021 beregningsår.</w:t>
      </w:r>
    </w:p>
    <w:p w14:paraId="28380CA7" w14:textId="089349EE" w:rsidR="00CD4386" w:rsidRDefault="00D83540" w:rsidP="00CD4386">
      <w:pPr>
        <w:pStyle w:val="BodyText"/>
      </w:pPr>
      <w:r>
        <w:rPr>
          <w:noProof/>
        </w:rPr>
        <w:drawing>
          <wp:inline distT="0" distB="0" distL="0" distR="0" wp14:anchorId="2A3700BC" wp14:editId="47905ED7">
            <wp:extent cx="4584700" cy="2974975"/>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974975"/>
                    </a:xfrm>
                    <a:prstGeom prst="rect">
                      <a:avLst/>
                    </a:prstGeom>
                    <a:noFill/>
                  </pic:spPr>
                </pic:pic>
              </a:graphicData>
            </a:graphic>
          </wp:inline>
        </w:drawing>
      </w:r>
    </w:p>
    <w:p w14:paraId="094A23C9" w14:textId="6695D699" w:rsidR="00CD4386" w:rsidRDefault="00CD4386" w:rsidP="00195BB5">
      <w:pPr>
        <w:pStyle w:val="BodyText"/>
      </w:pPr>
      <w:r>
        <w:t xml:space="preserve">Helt generelt viser figuren, at de gennemsnitlige kørselsomkostninger er </w:t>
      </w:r>
      <w:r w:rsidR="00862B38">
        <w:t xml:space="preserve">faldet </w:t>
      </w:r>
      <w:r>
        <w:t xml:space="preserve">i </w:t>
      </w:r>
      <w:r w:rsidR="000C5B3C">
        <w:t xml:space="preserve">2021 </w:t>
      </w:r>
      <w:r>
        <w:t xml:space="preserve">sammenlignet med </w:t>
      </w:r>
      <w:r w:rsidR="000C5B3C">
        <w:t>2016</w:t>
      </w:r>
      <w:r>
        <w:t xml:space="preserve">. Det skyldes </w:t>
      </w:r>
      <w:r w:rsidR="009857D9">
        <w:t xml:space="preserve">især, </w:t>
      </w:r>
      <w:r>
        <w:t xml:space="preserve">at reparation og vedligehold </w:t>
      </w:r>
      <w:r w:rsidR="009857D9">
        <w:t>va</w:t>
      </w:r>
      <w:r>
        <w:t xml:space="preserve">r højere i </w:t>
      </w:r>
      <w:r w:rsidR="009A5537">
        <w:t>2016</w:t>
      </w:r>
      <w:r>
        <w:t xml:space="preserve">. </w:t>
      </w:r>
      <w:r w:rsidR="002657DB">
        <w:t xml:space="preserve">Det skyldes </w:t>
      </w:r>
      <w:r w:rsidR="00195BB5">
        <w:t>i høj grad den ændrede måde at opgøre</w:t>
      </w:r>
      <w:r>
        <w:t xml:space="preserve"> reparation og vedligehold. Denne nye metode anvender, som nævnt i afsnit </w:t>
      </w:r>
      <w:r w:rsidR="00DD30C5">
        <w:fldChar w:fldCharType="begin"/>
      </w:r>
      <w:r w:rsidR="00DD30C5">
        <w:instrText xml:space="preserve"> REF _Ref88826961 \r \h </w:instrText>
      </w:r>
      <w:r w:rsidR="00DD30C5">
        <w:fldChar w:fldCharType="separate"/>
      </w:r>
      <w:r w:rsidR="00DD30C5">
        <w:t>5.4</w:t>
      </w:r>
      <w:r w:rsidR="00DD30C5">
        <w:fldChar w:fldCharType="end"/>
      </w:r>
      <w:fldSimple w:instr=" REF _Ref454545693 \r \h "/>
      <w:r>
        <w:t xml:space="preserve">, data fra </w:t>
      </w:r>
      <w:proofErr w:type="gramStart"/>
      <w:r>
        <w:t>TCO beregneren</w:t>
      </w:r>
      <w:proofErr w:type="gramEnd"/>
      <w:r>
        <w:t xml:space="preserve"> udviklet af Teknologisk Institut. </w:t>
      </w:r>
      <w:r w:rsidR="008D6543">
        <w:t xml:space="preserve">I 2021 opdateringen </w:t>
      </w:r>
      <w:r w:rsidR="000740C3">
        <w:t xml:space="preserve">stiger </w:t>
      </w:r>
      <w:r w:rsidR="005D57E6">
        <w:t xml:space="preserve">disse omkostninger mindre med alderen på bilerne end i de tidligere versioner, og værdien af bilen har </w:t>
      </w:r>
      <w:r w:rsidR="00C727C1">
        <w:t xml:space="preserve">ikke den helt samme store indvirkning på omkostningerne. </w:t>
      </w:r>
      <w:r w:rsidR="00347DB2">
        <w:t>Det</w:t>
      </w:r>
      <w:r>
        <w:t xml:space="preserve"> vurderes </w:t>
      </w:r>
      <w:r w:rsidR="00347DB2">
        <w:t xml:space="preserve">derfor </w:t>
      </w:r>
      <w:r>
        <w:t xml:space="preserve">at give mere retvisende kørselsomkostninger end den tidligere version. </w:t>
      </w:r>
    </w:p>
    <w:p w14:paraId="7C4B8393" w14:textId="7E94EBD1" w:rsidR="00CD4386" w:rsidRDefault="00CD4386" w:rsidP="00CD4386">
      <w:pPr>
        <w:pStyle w:val="BodyText"/>
      </w:pPr>
      <w:r>
        <w:t xml:space="preserve">Derudover er brændstofudgifterne reduceret </w:t>
      </w:r>
      <w:r w:rsidR="003E722E">
        <w:t xml:space="preserve">lidt </w:t>
      </w:r>
      <w:r>
        <w:t>på grund af forbedret brændstof effektivitet</w:t>
      </w:r>
      <w:r w:rsidR="00A75091">
        <w:t xml:space="preserve"> og skiftet mod plugin-hybridbiler og elbiler, der har væsentligt lavere kørselsomkostninger</w:t>
      </w:r>
      <w:r>
        <w:t>.</w:t>
      </w:r>
      <w:r w:rsidR="00CF1911">
        <w:t xml:space="preserve"> På grund af en stadig ret lille andel af trafikken med disse biler, slår det ikke </w:t>
      </w:r>
      <w:r w:rsidR="007F6828">
        <w:t xml:space="preserve">kraftigt igennem endnu. </w:t>
      </w:r>
    </w:p>
    <w:p w14:paraId="34C80310" w14:textId="15226636" w:rsidR="00F563C2" w:rsidRDefault="00CD4386" w:rsidP="00CD4386">
      <w:pPr>
        <w:pStyle w:val="BodyText"/>
      </w:pPr>
      <w:r>
        <w:t xml:space="preserve">Endelig er afskrivningerne </w:t>
      </w:r>
      <w:r w:rsidR="009036B2">
        <w:t>steget</w:t>
      </w:r>
      <w:r w:rsidR="00F755BA">
        <w:t xml:space="preserve"> i 2021. D</w:t>
      </w:r>
      <w:r>
        <w:t xml:space="preserve">et skyldes </w:t>
      </w:r>
      <w:r w:rsidR="00AE4D02">
        <w:t xml:space="preserve">særligt, at </w:t>
      </w:r>
      <w:r w:rsidR="00836898">
        <w:t xml:space="preserve">de nye biler er gennemsnitligt større end tidligere og </w:t>
      </w:r>
      <w:r w:rsidR="00F6451B">
        <w:t>indfas</w:t>
      </w:r>
      <w:r w:rsidR="00264696">
        <w:t>n</w:t>
      </w:r>
      <w:r w:rsidR="00F6451B">
        <w:t xml:space="preserve">ingen af </w:t>
      </w:r>
      <w:r w:rsidR="00264696">
        <w:t xml:space="preserve">elektriske køretøjer, der er dyrere. Dette slår derfor særligt igennem i omkostningerne uden afgifter, hvor </w:t>
      </w:r>
      <w:r w:rsidR="009109D4">
        <w:t xml:space="preserve">de lavere afgifter på elbilerne </w:t>
      </w:r>
      <w:r w:rsidR="002977DC">
        <w:t xml:space="preserve">medvirker til en </w:t>
      </w:r>
      <w:r w:rsidR="00327266">
        <w:t xml:space="preserve">reduktion af forskellen. </w:t>
      </w:r>
      <w:r w:rsidR="00E551E5">
        <w:t xml:space="preserve">For de andre omkostningselementer, er der ikke sket store ændringer fra 2016 til 2021. </w:t>
      </w:r>
    </w:p>
    <w:p w14:paraId="2296D6C9" w14:textId="72BD1080" w:rsidR="00E551E5" w:rsidRDefault="00E551E5" w:rsidP="00CD4386">
      <w:pPr>
        <w:pStyle w:val="BodyText"/>
      </w:pPr>
      <w:r>
        <w:t xml:space="preserve">I </w:t>
      </w:r>
      <w:r w:rsidR="00DD30C5">
        <w:fldChar w:fldCharType="begin"/>
      </w:r>
      <w:r w:rsidR="00DD30C5">
        <w:instrText xml:space="preserve"> REF _Ref88826914 \h </w:instrText>
      </w:r>
      <w:r w:rsidR="00DD30C5">
        <w:fldChar w:fldCharType="separate"/>
      </w:r>
      <w:r w:rsidR="00DD30C5" w:rsidRPr="00F954A0">
        <w:t xml:space="preserve">Figur </w:t>
      </w:r>
      <w:r w:rsidR="00DD30C5">
        <w:rPr>
          <w:noProof/>
        </w:rPr>
        <w:t>7</w:t>
      </w:r>
      <w:r w:rsidR="00DD30C5" w:rsidRPr="00F954A0">
        <w:noBreakHyphen/>
      </w:r>
      <w:r w:rsidR="00DD30C5">
        <w:rPr>
          <w:noProof/>
        </w:rPr>
        <w:t>2</w:t>
      </w:r>
      <w:r w:rsidR="00DD30C5">
        <w:fldChar w:fldCharType="end"/>
      </w:r>
      <w:r w:rsidR="002B1E46">
        <w:t xml:space="preserve"> vises en tilsvarende sammenligning, hvor </w:t>
      </w:r>
      <w:r w:rsidR="009C65CD">
        <w:t xml:space="preserve">det i stedet er </w:t>
      </w:r>
      <w:r w:rsidR="002E0396">
        <w:t>udført med beregningsåret 2030</w:t>
      </w:r>
      <w:r w:rsidR="008657BE">
        <w:t xml:space="preserve">. Heraf fremgår det, at der </w:t>
      </w:r>
      <w:r w:rsidR="00FC58FF">
        <w:t xml:space="preserve">kommer flere elbiler og endnu flere større biler ind i flåden i takt med at de ældre årgange skrottes, og der kommer flere 2021-årgange ind i flåden. Det betyder, at </w:t>
      </w:r>
      <w:r w:rsidR="00943566">
        <w:t xml:space="preserve">omkostningerne uden afgifter stiger, mens omkostningerne </w:t>
      </w:r>
      <w:r w:rsidR="009E6C55">
        <w:t>med</w:t>
      </w:r>
      <w:r w:rsidR="00943566">
        <w:t xml:space="preserve"> afgifter falder</w:t>
      </w:r>
      <w:r w:rsidR="009951E5">
        <w:t>.</w:t>
      </w:r>
    </w:p>
    <w:p w14:paraId="78F49AD1" w14:textId="1F07B298" w:rsidR="00E551E5" w:rsidRDefault="00E551E5" w:rsidP="00140C99">
      <w:pPr>
        <w:pStyle w:val="Caption"/>
        <w:keepNext/>
        <w:keepLines/>
      </w:pPr>
      <w:bookmarkStart w:id="45" w:name="_Ref88826914"/>
      <w:r w:rsidRPr="00F954A0">
        <w:lastRenderedPageBreak/>
        <w:t xml:space="preserve">Figur </w:t>
      </w:r>
      <w:r w:rsidRPr="00F954A0">
        <w:fldChar w:fldCharType="begin"/>
      </w:r>
      <w:r w:rsidRPr="00F954A0">
        <w:instrText xml:space="preserve"> STYLEREF 1 \s </w:instrText>
      </w:r>
      <w:r w:rsidRPr="00F954A0">
        <w:fldChar w:fldCharType="separate"/>
      </w:r>
      <w:r w:rsidR="00DD30C5">
        <w:rPr>
          <w:noProof/>
        </w:rPr>
        <w:t>7</w:t>
      </w:r>
      <w:r w:rsidRPr="00F954A0">
        <w:rPr>
          <w:noProof/>
        </w:rPr>
        <w:fldChar w:fldCharType="end"/>
      </w:r>
      <w:r w:rsidRPr="00F954A0">
        <w:noBreakHyphen/>
      </w:r>
      <w:r w:rsidRPr="00F954A0">
        <w:fldChar w:fldCharType="begin"/>
      </w:r>
      <w:r w:rsidRPr="00F954A0">
        <w:instrText xml:space="preserve"> SEQ Figur \* ARABIC \s 1 </w:instrText>
      </w:r>
      <w:r w:rsidRPr="00F954A0">
        <w:fldChar w:fldCharType="separate"/>
      </w:r>
      <w:r w:rsidR="00DD30C5">
        <w:rPr>
          <w:noProof/>
        </w:rPr>
        <w:t>2</w:t>
      </w:r>
      <w:r w:rsidRPr="00F954A0">
        <w:rPr>
          <w:noProof/>
        </w:rPr>
        <w:fldChar w:fldCharType="end"/>
      </w:r>
      <w:bookmarkEnd w:id="45"/>
      <w:r w:rsidRPr="00F954A0">
        <w:t xml:space="preserve"> </w:t>
      </w:r>
      <w:r>
        <w:tab/>
      </w:r>
      <w:r w:rsidRPr="00F954A0">
        <w:t>Sammenligning med tidligere version for personbiler</w:t>
      </w:r>
      <w:r w:rsidR="00E06AFB">
        <w:t>, 2030 beregningsår.</w:t>
      </w:r>
    </w:p>
    <w:p w14:paraId="0720690A" w14:textId="53E3D131" w:rsidR="00E551E5" w:rsidRDefault="00140C99" w:rsidP="005E1DFB">
      <w:pPr>
        <w:pStyle w:val="BodyText"/>
        <w:keepNext/>
        <w:keepLines/>
      </w:pPr>
      <w:r>
        <w:rPr>
          <w:noProof/>
        </w:rPr>
        <w:drawing>
          <wp:inline distT="0" distB="0" distL="0" distR="0" wp14:anchorId="674AB528" wp14:editId="33C94622">
            <wp:extent cx="4584700" cy="2974975"/>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974975"/>
                    </a:xfrm>
                    <a:prstGeom prst="rect">
                      <a:avLst/>
                    </a:prstGeom>
                    <a:noFill/>
                  </pic:spPr>
                </pic:pic>
              </a:graphicData>
            </a:graphic>
          </wp:inline>
        </w:drawing>
      </w:r>
    </w:p>
    <w:p w14:paraId="1D2DBA8A" w14:textId="0B50610A" w:rsidR="00CD4386" w:rsidRDefault="00CD4386" w:rsidP="00CD4386">
      <w:pPr>
        <w:pStyle w:val="Heading2"/>
      </w:pPr>
      <w:bookmarkStart w:id="46" w:name="_Toc88834883"/>
      <w:r>
        <w:t>Varebiler</w:t>
      </w:r>
      <w:bookmarkEnd w:id="46"/>
    </w:p>
    <w:p w14:paraId="7AA55135" w14:textId="78A3E17B" w:rsidR="00CD4386" w:rsidRPr="00140779" w:rsidRDefault="00140779" w:rsidP="00CD4386">
      <w:pPr>
        <w:pStyle w:val="BodyText"/>
      </w:pPr>
      <w:r w:rsidRPr="00140779">
        <w:fldChar w:fldCharType="begin"/>
      </w:r>
      <w:r w:rsidRPr="00140779">
        <w:instrText xml:space="preserve"> REF _Ref88830118 \h </w:instrText>
      </w:r>
      <w:r>
        <w:instrText xml:space="preserve"> \* MERGEFORMAT </w:instrText>
      </w:r>
      <w:r w:rsidRPr="00140779">
        <w:fldChar w:fldCharType="separate"/>
      </w:r>
      <w:r w:rsidRPr="00140779">
        <w:t xml:space="preserve">Figur </w:t>
      </w:r>
      <w:r w:rsidRPr="00140779">
        <w:rPr>
          <w:noProof/>
        </w:rPr>
        <w:t>7</w:t>
      </w:r>
      <w:r w:rsidRPr="00140779">
        <w:noBreakHyphen/>
      </w:r>
      <w:r w:rsidRPr="00140779">
        <w:rPr>
          <w:noProof/>
        </w:rPr>
        <w:t>3</w:t>
      </w:r>
      <w:r w:rsidRPr="00140779">
        <w:fldChar w:fldCharType="end"/>
      </w:r>
      <w:r w:rsidRPr="00140779">
        <w:t xml:space="preserve"> </w:t>
      </w:r>
      <w:r w:rsidR="00CD4386" w:rsidRPr="00140779">
        <w:t>viser en sammenligning mellem de opdaterede kørselsomkostninger og kørselsomkostni</w:t>
      </w:r>
      <w:r w:rsidR="00B073DA" w:rsidRPr="00140779">
        <w:t>n</w:t>
      </w:r>
      <w:r w:rsidR="00CD4386" w:rsidRPr="00140779">
        <w:t>gerne fra den tidligere version for varebiler. Figuren viser de kilometerafhængige kørselsomkostninger.</w:t>
      </w:r>
    </w:p>
    <w:p w14:paraId="3329680C" w14:textId="4FB7959B" w:rsidR="00CD4386" w:rsidRPr="00140779" w:rsidRDefault="00CD4386" w:rsidP="00CD4386">
      <w:pPr>
        <w:pStyle w:val="Caption"/>
      </w:pPr>
      <w:bookmarkStart w:id="47" w:name="_Ref459914537"/>
      <w:bookmarkStart w:id="48" w:name="_Ref88830118"/>
      <w:r w:rsidRPr="00140779">
        <w:t xml:space="preserve">Figur </w:t>
      </w:r>
      <w:fldSimple w:instr=" STYLEREF 1 \s ">
        <w:r w:rsidR="00E41010" w:rsidRPr="00140779">
          <w:rPr>
            <w:noProof/>
          </w:rPr>
          <w:t>7</w:t>
        </w:r>
      </w:fldSimple>
      <w:r w:rsidRPr="00140779">
        <w:noBreakHyphen/>
      </w:r>
      <w:fldSimple w:instr=" SEQ Figur \* ARABIC \s 1 ">
        <w:r w:rsidR="00E41010" w:rsidRPr="00140779">
          <w:rPr>
            <w:noProof/>
          </w:rPr>
          <w:t>3</w:t>
        </w:r>
      </w:fldSimple>
      <w:bookmarkEnd w:id="48"/>
      <w:r w:rsidRPr="00140779">
        <w:t xml:space="preserve"> Sammenligning af kilometerafhængige kørselsomkostninger for varebiler</w:t>
      </w:r>
      <w:bookmarkEnd w:id="47"/>
    </w:p>
    <w:p w14:paraId="56896FB2" w14:textId="5A57DF47" w:rsidR="00CD4386" w:rsidRDefault="00710524" w:rsidP="00CD4386">
      <w:pPr>
        <w:pStyle w:val="BodyText"/>
      </w:pPr>
      <w:r>
        <w:rPr>
          <w:noProof/>
        </w:rPr>
        <w:drawing>
          <wp:inline distT="0" distB="0" distL="0" distR="0" wp14:anchorId="66F3FAE4" wp14:editId="2B93A619">
            <wp:extent cx="4517390" cy="271907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7390" cy="2719070"/>
                    </a:xfrm>
                    <a:prstGeom prst="rect">
                      <a:avLst/>
                    </a:prstGeom>
                    <a:noFill/>
                  </pic:spPr>
                </pic:pic>
              </a:graphicData>
            </a:graphic>
          </wp:inline>
        </w:drawing>
      </w:r>
    </w:p>
    <w:p w14:paraId="636EDA73" w14:textId="6C825CE6" w:rsidR="00AE290E" w:rsidRDefault="00CD4386" w:rsidP="00CD4386">
      <w:pPr>
        <w:pStyle w:val="BodyText"/>
      </w:pPr>
      <w:r>
        <w:t xml:space="preserve">Helt generelt viser figuren, at de opdaterede gennemsnitlige kørselsomkostninger for </w:t>
      </w:r>
      <w:proofErr w:type="gramStart"/>
      <w:r>
        <w:t>varebiler</w:t>
      </w:r>
      <w:proofErr w:type="gramEnd"/>
      <w:r>
        <w:t xml:space="preserve"> er </w:t>
      </w:r>
      <w:r w:rsidR="00F20E23">
        <w:t xml:space="preserve">en del </w:t>
      </w:r>
      <w:r>
        <w:t xml:space="preserve">lavere i forhold til de tidligere beregnede kørselsomkostninger. Mest markante ændring er en reduktion i de kilometerafhængige </w:t>
      </w:r>
      <w:r w:rsidR="00A82237">
        <w:t>rep</w:t>
      </w:r>
      <w:r w:rsidR="00D8730D">
        <w:t>arationsomkostninger</w:t>
      </w:r>
      <w:r>
        <w:t xml:space="preserve">. Det skyldes, at der er anvendt en ny metode, hvor den kilometerafhængige </w:t>
      </w:r>
      <w:r w:rsidR="00250600">
        <w:t xml:space="preserve">reparationsomkostning </w:t>
      </w:r>
      <w:r>
        <w:t xml:space="preserve">beregnes </w:t>
      </w:r>
      <w:r w:rsidR="00250600">
        <w:t xml:space="preserve">jf. </w:t>
      </w:r>
      <w:r w:rsidR="0095072C">
        <w:t>gennemgangen for personbilerne. Der er benyttet samme tilgang</w:t>
      </w:r>
      <w:r w:rsidR="00AE290E">
        <w:t xml:space="preserve"> som for personbilerne. </w:t>
      </w:r>
    </w:p>
    <w:p w14:paraId="718EE99C" w14:textId="50FE285D" w:rsidR="00CD4386" w:rsidRDefault="00AE290E" w:rsidP="00CD4386">
      <w:pPr>
        <w:pStyle w:val="BodyText"/>
      </w:pPr>
      <w:r>
        <w:lastRenderedPageBreak/>
        <w:t xml:space="preserve">Til gengæld er </w:t>
      </w:r>
      <w:r w:rsidR="00F70363">
        <w:t xml:space="preserve">afskrivningerne </w:t>
      </w:r>
      <w:r w:rsidR="00B25195">
        <w:t>for varebilerne steget</w:t>
      </w:r>
      <w:r w:rsidR="00582821">
        <w:t xml:space="preserve"> lidt. </w:t>
      </w:r>
      <w:r w:rsidR="00AF2D99">
        <w:t xml:space="preserve">Begge dele </w:t>
      </w:r>
      <w:r w:rsidR="001565A0">
        <w:t xml:space="preserve">kan kobles med generelt lidt større og lidt dyrere </w:t>
      </w:r>
      <w:r w:rsidR="00E32CA7">
        <w:t>biler</w:t>
      </w:r>
      <w:r w:rsidR="00577C81">
        <w:t>.</w:t>
      </w:r>
    </w:p>
    <w:p w14:paraId="5EF37EBA" w14:textId="053B5A26" w:rsidR="00CD4386" w:rsidRDefault="00CD4386" w:rsidP="00CD4386">
      <w:pPr>
        <w:pStyle w:val="BodyText"/>
      </w:pPr>
      <w:r>
        <w:t xml:space="preserve">Endelig er udgiften til drivmidler </w:t>
      </w:r>
      <w:r w:rsidR="005D2E50">
        <w:t xml:space="preserve">steget lidt </w:t>
      </w:r>
      <w:r>
        <w:t xml:space="preserve">på grund at </w:t>
      </w:r>
      <w:r w:rsidR="00483891">
        <w:t>en lidt højere dieselpris</w:t>
      </w:r>
      <w:r w:rsidR="002D7AD4">
        <w:t xml:space="preserve">. </w:t>
      </w:r>
      <w:r>
        <w:t xml:space="preserve">De ikke </w:t>
      </w:r>
      <w:proofErr w:type="spellStart"/>
      <w:r>
        <w:t>refunderbare</w:t>
      </w:r>
      <w:proofErr w:type="spellEnd"/>
      <w:r>
        <w:t xml:space="preserve"> afgifter (til brændstof) er stort set uændrede, idet de lidt højere afgifter opvejer reduktionen i brændstofforbrug.</w:t>
      </w:r>
    </w:p>
    <w:p w14:paraId="3E517E96" w14:textId="336312D9" w:rsidR="00CD4386" w:rsidRPr="005F7DD5" w:rsidRDefault="00CD4386" w:rsidP="00CD4386">
      <w:pPr>
        <w:pStyle w:val="BodyText"/>
      </w:pPr>
      <w:r w:rsidRPr="005F7DD5">
        <w:fldChar w:fldCharType="begin"/>
      </w:r>
      <w:r w:rsidRPr="005F7DD5">
        <w:instrText xml:space="preserve"> REF _Ref454546005 \h </w:instrText>
      </w:r>
      <w:r w:rsidR="00B073DA" w:rsidRPr="005F7DD5">
        <w:instrText xml:space="preserve"> \* MERGEFORMAT </w:instrText>
      </w:r>
      <w:r w:rsidRPr="005F7DD5">
        <w:fldChar w:fldCharType="separate"/>
      </w:r>
      <w:r w:rsidR="005F7DD5" w:rsidRPr="005F7DD5">
        <w:t xml:space="preserve">Figur </w:t>
      </w:r>
      <w:r w:rsidR="005F7DD5" w:rsidRPr="005F7DD5">
        <w:rPr>
          <w:noProof/>
        </w:rPr>
        <w:t>7</w:t>
      </w:r>
      <w:r w:rsidR="005F7DD5" w:rsidRPr="005F7DD5">
        <w:rPr>
          <w:noProof/>
        </w:rPr>
        <w:noBreakHyphen/>
        <w:t>4</w:t>
      </w:r>
      <w:r w:rsidRPr="005F7DD5">
        <w:fldChar w:fldCharType="end"/>
      </w:r>
      <w:r w:rsidRPr="005F7DD5">
        <w:t xml:space="preserve"> viser en sammenligning mellem de opdaterede tidsomkostninger og tidsomkostni</w:t>
      </w:r>
      <w:r w:rsidR="00B073DA" w:rsidRPr="005F7DD5">
        <w:t>n</w:t>
      </w:r>
      <w:r w:rsidRPr="005F7DD5">
        <w:t xml:space="preserve">gerne fra den tidligere version for varebiler. </w:t>
      </w:r>
    </w:p>
    <w:p w14:paraId="5772123D" w14:textId="7AD6CFA4" w:rsidR="00CD4386" w:rsidRPr="005F7DD5" w:rsidRDefault="00CD4386" w:rsidP="00CD4386">
      <w:pPr>
        <w:pStyle w:val="Caption"/>
        <w:keepNext/>
      </w:pPr>
      <w:bookmarkStart w:id="49" w:name="_Ref454546005"/>
      <w:r w:rsidRPr="005F7DD5">
        <w:t xml:space="preserve">Figur </w:t>
      </w:r>
      <w:fldSimple w:instr=" STYLEREF 1 \s ">
        <w:r w:rsidR="005F7DD5" w:rsidRPr="005F7DD5">
          <w:rPr>
            <w:noProof/>
          </w:rPr>
          <w:t>7</w:t>
        </w:r>
      </w:fldSimple>
      <w:r w:rsidRPr="005F7DD5">
        <w:noBreakHyphen/>
      </w:r>
      <w:fldSimple w:instr=" SEQ Figur \* ARABIC \s 1 ">
        <w:r w:rsidR="005F7DD5" w:rsidRPr="005F7DD5">
          <w:rPr>
            <w:noProof/>
          </w:rPr>
          <w:t>4</w:t>
        </w:r>
      </w:fldSimple>
      <w:bookmarkEnd w:id="49"/>
      <w:r w:rsidRPr="005F7DD5">
        <w:t xml:space="preserve"> </w:t>
      </w:r>
      <w:r w:rsidR="005F7DD5" w:rsidRPr="005F7DD5">
        <w:tab/>
      </w:r>
      <w:r w:rsidRPr="005F7DD5">
        <w:t>Sammenligning af tidsafhængige kørselsomkostninger for varebiler</w:t>
      </w:r>
    </w:p>
    <w:p w14:paraId="4E328E84" w14:textId="3CF91317" w:rsidR="00CD4386" w:rsidRDefault="006B659A" w:rsidP="00CD4386">
      <w:pPr>
        <w:pStyle w:val="BodyText"/>
      </w:pPr>
      <w:r>
        <w:rPr>
          <w:noProof/>
        </w:rPr>
        <w:drawing>
          <wp:inline distT="0" distB="0" distL="0" distR="0" wp14:anchorId="0340D976" wp14:editId="7CE3747E">
            <wp:extent cx="4517390" cy="270065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17390" cy="2700655"/>
                    </a:xfrm>
                    <a:prstGeom prst="rect">
                      <a:avLst/>
                    </a:prstGeom>
                    <a:noFill/>
                  </pic:spPr>
                </pic:pic>
              </a:graphicData>
            </a:graphic>
          </wp:inline>
        </w:drawing>
      </w:r>
    </w:p>
    <w:p w14:paraId="04924E6D" w14:textId="08ECD460" w:rsidR="00CD4386" w:rsidRDefault="00CD4386" w:rsidP="00CD4386">
      <w:pPr>
        <w:pStyle w:val="BodyText"/>
      </w:pPr>
      <w:r>
        <w:t>Den altoverskyggende tidsomkostning udgøres af lønudgift til den</w:t>
      </w:r>
      <w:r w:rsidR="005F7DD5">
        <w:t>,</w:t>
      </w:r>
      <w:r>
        <w:t xml:space="preserve"> der kører bilen. Da lønudgiften er </w:t>
      </w:r>
      <w:r w:rsidR="0046775B">
        <w:t>faldet lidt</w:t>
      </w:r>
      <w:r>
        <w:t xml:space="preserve"> i forhold til den der er anvendt </w:t>
      </w:r>
      <w:r w:rsidR="00B073DA">
        <w:t>tidligere,</w:t>
      </w:r>
      <w:r>
        <w:t xml:space="preserve"> medfører det e</w:t>
      </w:r>
      <w:r w:rsidR="0067504A">
        <w:t>t</w:t>
      </w:r>
      <w:r>
        <w:t xml:space="preserve"> </w:t>
      </w:r>
      <w:r w:rsidR="0067504A">
        <w:t xml:space="preserve">mindre fald </w:t>
      </w:r>
      <w:r>
        <w:t>i de tidsafhængige omkostninger.</w:t>
      </w:r>
    </w:p>
    <w:p w14:paraId="7BD7515C" w14:textId="5EF667C1" w:rsidR="002E5A80" w:rsidRDefault="00CD4386" w:rsidP="002E5A80">
      <w:pPr>
        <w:pStyle w:val="BodyText"/>
      </w:pPr>
      <w:r>
        <w:t xml:space="preserve">De øvrige omkostninger udgør alle små andele. Her kan for eksempel nævnes, at afskrivningerne er </w:t>
      </w:r>
      <w:r w:rsidR="00C9149D">
        <w:t>steget</w:t>
      </w:r>
      <w:r>
        <w:t xml:space="preserve"> f</w:t>
      </w:r>
      <w:r w:rsidRPr="005F6694">
        <w:t xml:space="preserve">ra </w:t>
      </w:r>
      <w:r w:rsidR="00753E49" w:rsidRPr="005F6694">
        <w:t>5</w:t>
      </w:r>
      <w:r w:rsidRPr="005F6694">
        <w:t xml:space="preserve"> til </w:t>
      </w:r>
      <w:r w:rsidR="00753E49" w:rsidRPr="005F6694">
        <w:t>8</w:t>
      </w:r>
      <w:r w:rsidRPr="005F6694">
        <w:t xml:space="preserve"> kr. per time</w:t>
      </w:r>
      <w:r w:rsidR="00753E49" w:rsidRPr="005F6694">
        <w:t xml:space="preserve"> (de</w:t>
      </w:r>
      <w:r w:rsidR="00753E49">
        <w:t>t er dog på niveau med 2019, hvor den var 7 kr.)</w:t>
      </w:r>
      <w:r>
        <w:t xml:space="preserve">. Det skyldes </w:t>
      </w:r>
      <w:r w:rsidR="007C74FD">
        <w:t xml:space="preserve">primært, at den </w:t>
      </w:r>
      <w:r>
        <w:t>bilpris, der anvendes til beregningerne</w:t>
      </w:r>
      <w:r w:rsidR="0043685C">
        <w:t>,</w:t>
      </w:r>
      <w:r>
        <w:t xml:space="preserve"> </w:t>
      </w:r>
      <w:r w:rsidR="007C74FD">
        <w:t xml:space="preserve">er lidt </w:t>
      </w:r>
      <w:r w:rsidR="00B215B9">
        <w:t xml:space="preserve">højere </w:t>
      </w:r>
      <w:r>
        <w:t>i de opdaterede omkostninger.</w:t>
      </w:r>
      <w:r w:rsidR="005F6694">
        <w:t xml:space="preserve"> </w:t>
      </w:r>
      <w:r w:rsidR="00420344">
        <w:t>D</w:t>
      </w:r>
      <w:r w:rsidR="009C2B18">
        <w:t xml:space="preserve">e </w:t>
      </w:r>
      <w:r w:rsidR="00DD703A">
        <w:t>kilometerafhængige afgifter</w:t>
      </w:r>
      <w:r w:rsidR="00420344">
        <w:t xml:space="preserve"> er steget</w:t>
      </w:r>
      <w:r w:rsidR="0070632A">
        <w:t>, m</w:t>
      </w:r>
      <w:r w:rsidR="00925F2B">
        <w:t>ens</w:t>
      </w:r>
      <w:r w:rsidR="0043685C">
        <w:t xml:space="preserve"> de tidsafhængige reparationsomkostninger faldet</w:t>
      </w:r>
      <w:r w:rsidR="004875D1">
        <w:t xml:space="preserve"> i lighed</w:t>
      </w:r>
      <w:r w:rsidR="00D7649F">
        <w:t xml:space="preserve"> med det, der er fundet for de kilometerafhængige omkostninger</w:t>
      </w:r>
      <w:r w:rsidR="0043685C">
        <w:t xml:space="preserve">. </w:t>
      </w:r>
      <w:r w:rsidR="00814D1F">
        <w:t xml:space="preserve">Det samlede niveau af de tidsafhængige omkostninger er samlet faldt med </w:t>
      </w:r>
      <w:r w:rsidR="007B59E1">
        <w:t>6 kr</w:t>
      </w:r>
      <w:r w:rsidR="00B300ED">
        <w:t>.</w:t>
      </w:r>
      <w:r w:rsidR="007B59E1">
        <w:t xml:space="preserve">, hvilket som nævnt hovedsageligt skal henføres til </w:t>
      </w:r>
      <w:r w:rsidR="00D15B73">
        <w:t>den ændrede lønomkostning</w:t>
      </w:r>
      <w:r w:rsidR="00926996">
        <w:t xml:space="preserve"> og </w:t>
      </w:r>
      <w:r w:rsidR="00B300ED">
        <w:t>reparationsomkostningerne.</w:t>
      </w:r>
    </w:p>
    <w:p w14:paraId="38E12D67" w14:textId="1FD97CF3" w:rsidR="00B073DA" w:rsidRDefault="00B073DA" w:rsidP="00B073DA">
      <w:pPr>
        <w:pStyle w:val="BodyText"/>
      </w:pPr>
    </w:p>
    <w:p w14:paraId="3364CB21" w14:textId="4EEE5AA2" w:rsidR="007B1271" w:rsidRDefault="0011706B" w:rsidP="007B1271">
      <w:pPr>
        <w:pStyle w:val="Heading7"/>
      </w:pPr>
      <w:bookmarkStart w:id="50" w:name="_Ref88747428"/>
      <w:r>
        <w:lastRenderedPageBreak/>
        <w:t>Afgiftsr</w:t>
      </w:r>
      <w:r w:rsidR="007B1271">
        <w:t>eglerne i lidt flere detaljer</w:t>
      </w:r>
      <w:bookmarkEnd w:id="50"/>
    </w:p>
    <w:p w14:paraId="3CD16EE1" w14:textId="77777777" w:rsidR="007B1271" w:rsidRPr="00CB232C" w:rsidRDefault="007B1271" w:rsidP="007B1271">
      <w:pPr>
        <w:pStyle w:val="BodyText"/>
      </w:pPr>
    </w:p>
    <w:p w14:paraId="499788ED" w14:textId="77777777" w:rsidR="007B1271" w:rsidRDefault="007B1271" w:rsidP="007B1271">
      <w:pPr>
        <w:pStyle w:val="Heading8"/>
      </w:pPr>
      <w:r>
        <w:t>Registreringsafgift</w:t>
      </w:r>
    </w:p>
    <w:p w14:paraId="4945B61C" w14:textId="77777777" w:rsidR="007B1271" w:rsidRPr="000962C1" w:rsidRDefault="007B1271" w:rsidP="007B1271">
      <w:pPr>
        <w:pStyle w:val="Heading9"/>
      </w:pPr>
      <w:r>
        <w:t xml:space="preserve">Nyt </w:t>
      </w:r>
      <w:r w:rsidRPr="000962C1">
        <w:t>bundfradrag</w:t>
      </w:r>
    </w:p>
    <w:p w14:paraId="12682525" w14:textId="77777777" w:rsidR="007B1271" w:rsidRDefault="007B1271" w:rsidP="007B1271">
      <w:pPr>
        <w:pStyle w:val="BodyText"/>
      </w:pPr>
      <w:r>
        <w:t>Reglerne om f</w:t>
      </w:r>
      <w:r w:rsidRPr="00542B11">
        <w:t>radrag eller tillæg</w:t>
      </w:r>
      <w:r>
        <w:t xml:space="preserve"> for diverse sikkerhedsudstyr f.eks. </w:t>
      </w:r>
      <w:r w:rsidRPr="0043052E">
        <w:t xml:space="preserve">selealarmer </w:t>
      </w:r>
      <w:r>
        <w:t xml:space="preserve">m.v. ophæves og erstattes af et samlet </w:t>
      </w:r>
      <w:bookmarkStart w:id="51" w:name="_Hlk83642735"/>
      <w:r>
        <w:t xml:space="preserve">bundfradrag </w:t>
      </w:r>
      <w:bookmarkEnd w:id="51"/>
      <w:r>
        <w:t>i registreringsafgiften. Bundfradraget udgør 21.700 kr. (2021-niveau) for personbiler og 30.000 kr. (2021-niveau) for vare- og lastbiler med en tilladt totalvægt på op til 4 t.</w:t>
      </w:r>
    </w:p>
    <w:p w14:paraId="4065AF2B" w14:textId="77777777" w:rsidR="007B1271" w:rsidRDefault="007B1271" w:rsidP="007B1271">
      <w:pPr>
        <w:pStyle w:val="Heading9"/>
      </w:pPr>
      <w:r w:rsidRPr="000962C1">
        <w:t>Tillæg for CO2-udledning</w:t>
      </w:r>
    </w:p>
    <w:p w14:paraId="17FDDD57" w14:textId="77777777" w:rsidR="007B1271" w:rsidRDefault="007B1271" w:rsidP="007B1271">
      <w:pPr>
        <w:pStyle w:val="BodyText"/>
      </w:pPr>
      <w:r>
        <w:t>Hidtidige regler om fradrag eller tillæg i registreringsafgiften for brændstofeffektivitet for person- og varebiler ophæves, og erstattes af et tillæg i registreringsafgiften, som fastsættes ud fra køretøjets CO2-udledning.</w:t>
      </w:r>
    </w:p>
    <w:p w14:paraId="0121087C" w14:textId="77777777" w:rsidR="007B1271" w:rsidRDefault="007B1271" w:rsidP="007B1271">
      <w:pPr>
        <w:pStyle w:val="BodyText"/>
      </w:pPr>
      <w:bookmarkStart w:id="52" w:name="_Hlk83642782"/>
      <w:r>
        <w:t>Tillægget for CO2-udledning</w:t>
      </w:r>
      <w:bookmarkEnd w:id="52"/>
      <w:r>
        <w:t xml:space="preserve"> fastsættes ud fra, hvor mange gram CO2 køretøjet udleder pr. kilometer.</w:t>
      </w:r>
    </w:p>
    <w:p w14:paraId="6B4F2129" w14:textId="77777777" w:rsidR="007B1271" w:rsidRPr="00303F42" w:rsidRDefault="007B1271" w:rsidP="007B1271">
      <w:pPr>
        <w:pStyle w:val="BodyText"/>
        <w:rPr>
          <w:rFonts w:cs="Times New Roman"/>
          <w:szCs w:val="18"/>
        </w:rPr>
      </w:pPr>
      <w:r>
        <w:t>Personbiler (autocampere undtaget)</w:t>
      </w:r>
    </w:p>
    <w:tbl>
      <w:tblPr>
        <w:tblW w:w="6704" w:type="dxa"/>
        <w:shd w:val="clear" w:color="auto" w:fill="FFFFFF"/>
        <w:tblCellMar>
          <w:top w:w="15" w:type="dxa"/>
          <w:left w:w="15" w:type="dxa"/>
          <w:bottom w:w="15" w:type="dxa"/>
          <w:right w:w="15" w:type="dxa"/>
        </w:tblCellMar>
        <w:tblLook w:val="04A0" w:firstRow="1" w:lastRow="0" w:firstColumn="1" w:lastColumn="0" w:noHBand="0" w:noVBand="1"/>
      </w:tblPr>
      <w:tblGrid>
        <w:gridCol w:w="3161"/>
        <w:gridCol w:w="3543"/>
      </w:tblGrid>
      <w:tr w:rsidR="007B1271" w:rsidRPr="00303F42" w14:paraId="70B5309A" w14:textId="77777777" w:rsidTr="003A3BF5">
        <w:tc>
          <w:tcPr>
            <w:tcW w:w="3154" w:type="dxa"/>
            <w:tcBorders>
              <w:top w:val="single" w:sz="2" w:space="0" w:color="E5E5E5"/>
              <w:left w:val="single" w:sz="2" w:space="0" w:color="E5E5E5"/>
              <w:bottom w:val="single" w:sz="2" w:space="0" w:color="E5E5E5"/>
              <w:right w:val="single" w:sz="2" w:space="0" w:color="E5E5E5"/>
            </w:tcBorders>
            <w:shd w:val="clear" w:color="auto" w:fill="FFFFFF"/>
            <w:hideMark/>
          </w:tcPr>
          <w:p w14:paraId="55B810DD" w14:textId="77777777" w:rsidR="007B1271" w:rsidRPr="00303F42" w:rsidRDefault="007B1271" w:rsidP="003A3BF5">
            <w:pPr>
              <w:spacing w:line="240" w:lineRule="auto"/>
              <w:rPr>
                <w:color w:val="434363"/>
                <w:szCs w:val="18"/>
              </w:rPr>
            </w:pPr>
            <w:r w:rsidRPr="00303F42">
              <w:rPr>
                <w:color w:val="434363"/>
                <w:szCs w:val="18"/>
              </w:rPr>
              <w:t>0-125 gram C02</w:t>
            </w:r>
          </w:p>
        </w:tc>
        <w:tc>
          <w:tcPr>
            <w:tcW w:w="3535" w:type="dxa"/>
            <w:tcBorders>
              <w:top w:val="single" w:sz="2" w:space="0" w:color="E5E5E5"/>
              <w:left w:val="single" w:sz="2" w:space="0" w:color="E5E5E5"/>
              <w:bottom w:val="single" w:sz="2" w:space="0" w:color="E5E5E5"/>
              <w:right w:val="single" w:sz="2" w:space="0" w:color="E5E5E5"/>
            </w:tcBorders>
            <w:shd w:val="clear" w:color="auto" w:fill="FFFFFF"/>
            <w:hideMark/>
          </w:tcPr>
          <w:p w14:paraId="116BD41E" w14:textId="77777777" w:rsidR="007B1271" w:rsidRPr="00303F42" w:rsidRDefault="007B1271" w:rsidP="003A3BF5">
            <w:pPr>
              <w:spacing w:line="240" w:lineRule="auto"/>
              <w:rPr>
                <w:color w:val="434363"/>
                <w:szCs w:val="18"/>
              </w:rPr>
            </w:pPr>
            <w:r w:rsidRPr="00303F42">
              <w:rPr>
                <w:color w:val="434363"/>
                <w:szCs w:val="18"/>
              </w:rPr>
              <w:t>250 kr. pr. gram CO2</w:t>
            </w:r>
          </w:p>
        </w:tc>
      </w:tr>
      <w:tr w:rsidR="007B1271" w:rsidRPr="00303F42" w14:paraId="6F610BCE" w14:textId="77777777" w:rsidTr="003A3BF5">
        <w:tc>
          <w:tcPr>
            <w:tcW w:w="3154" w:type="dxa"/>
            <w:tcBorders>
              <w:top w:val="single" w:sz="2" w:space="0" w:color="E5E5E5"/>
              <w:left w:val="single" w:sz="2" w:space="0" w:color="E5E5E5"/>
              <w:bottom w:val="single" w:sz="2" w:space="0" w:color="E5E5E5"/>
              <w:right w:val="single" w:sz="2" w:space="0" w:color="E5E5E5"/>
            </w:tcBorders>
            <w:shd w:val="clear" w:color="auto" w:fill="FFFFFF"/>
            <w:hideMark/>
          </w:tcPr>
          <w:p w14:paraId="72167C81" w14:textId="77777777" w:rsidR="007B1271" w:rsidRPr="00303F42" w:rsidRDefault="007B1271" w:rsidP="003A3BF5">
            <w:pPr>
              <w:spacing w:line="240" w:lineRule="auto"/>
              <w:rPr>
                <w:color w:val="434363"/>
                <w:szCs w:val="18"/>
              </w:rPr>
            </w:pPr>
            <w:r w:rsidRPr="00303F42">
              <w:rPr>
                <w:color w:val="434363"/>
                <w:szCs w:val="18"/>
              </w:rPr>
              <w:t>126-160 gram CO2</w:t>
            </w:r>
          </w:p>
        </w:tc>
        <w:tc>
          <w:tcPr>
            <w:tcW w:w="3535" w:type="dxa"/>
            <w:tcBorders>
              <w:top w:val="single" w:sz="2" w:space="0" w:color="E5E5E5"/>
              <w:left w:val="single" w:sz="2" w:space="0" w:color="E5E5E5"/>
              <w:bottom w:val="single" w:sz="2" w:space="0" w:color="E5E5E5"/>
              <w:right w:val="single" w:sz="2" w:space="0" w:color="E5E5E5"/>
            </w:tcBorders>
            <w:shd w:val="clear" w:color="auto" w:fill="FFFFFF"/>
            <w:hideMark/>
          </w:tcPr>
          <w:p w14:paraId="63B344BE" w14:textId="77777777" w:rsidR="007B1271" w:rsidRPr="00303F42" w:rsidRDefault="007B1271" w:rsidP="003A3BF5">
            <w:pPr>
              <w:spacing w:line="240" w:lineRule="auto"/>
              <w:rPr>
                <w:color w:val="434363"/>
                <w:szCs w:val="18"/>
              </w:rPr>
            </w:pPr>
            <w:r w:rsidRPr="00303F42">
              <w:rPr>
                <w:color w:val="434363"/>
                <w:szCs w:val="18"/>
              </w:rPr>
              <w:t>500 kr. pr. gram CO2 </w:t>
            </w:r>
          </w:p>
        </w:tc>
      </w:tr>
      <w:tr w:rsidR="007B1271" w:rsidRPr="00303F42" w14:paraId="2E42B360" w14:textId="77777777" w:rsidTr="003A3BF5">
        <w:tc>
          <w:tcPr>
            <w:tcW w:w="3154" w:type="dxa"/>
            <w:tcBorders>
              <w:top w:val="single" w:sz="2" w:space="0" w:color="E5E5E5"/>
              <w:left w:val="single" w:sz="2" w:space="0" w:color="E5E5E5"/>
              <w:bottom w:val="single" w:sz="2" w:space="0" w:color="E5E5E5"/>
              <w:right w:val="single" w:sz="2" w:space="0" w:color="E5E5E5"/>
            </w:tcBorders>
            <w:shd w:val="clear" w:color="auto" w:fill="FFFFFF"/>
            <w:hideMark/>
          </w:tcPr>
          <w:p w14:paraId="790ED56B" w14:textId="77777777" w:rsidR="007B1271" w:rsidRPr="00303F42" w:rsidRDefault="007B1271" w:rsidP="003A3BF5">
            <w:pPr>
              <w:spacing w:line="240" w:lineRule="auto"/>
              <w:rPr>
                <w:color w:val="434363"/>
                <w:szCs w:val="18"/>
              </w:rPr>
            </w:pPr>
            <w:r w:rsidRPr="00303F42">
              <w:rPr>
                <w:color w:val="434363"/>
                <w:szCs w:val="18"/>
              </w:rPr>
              <w:t>&gt; 160 gram CO2</w:t>
            </w:r>
          </w:p>
        </w:tc>
        <w:tc>
          <w:tcPr>
            <w:tcW w:w="3535" w:type="dxa"/>
            <w:tcBorders>
              <w:top w:val="single" w:sz="2" w:space="0" w:color="E5E5E5"/>
              <w:left w:val="single" w:sz="2" w:space="0" w:color="E5E5E5"/>
              <w:bottom w:val="single" w:sz="2" w:space="0" w:color="E5E5E5"/>
              <w:right w:val="single" w:sz="2" w:space="0" w:color="E5E5E5"/>
            </w:tcBorders>
            <w:shd w:val="clear" w:color="auto" w:fill="FFFFFF"/>
            <w:hideMark/>
          </w:tcPr>
          <w:p w14:paraId="491E662D" w14:textId="77777777" w:rsidR="007B1271" w:rsidRPr="00303F42" w:rsidRDefault="007B1271" w:rsidP="003A3BF5">
            <w:pPr>
              <w:spacing w:line="240" w:lineRule="auto"/>
              <w:rPr>
                <w:color w:val="434363"/>
                <w:szCs w:val="18"/>
              </w:rPr>
            </w:pPr>
            <w:r w:rsidRPr="00303F42">
              <w:rPr>
                <w:color w:val="434363"/>
                <w:szCs w:val="18"/>
              </w:rPr>
              <w:t>950 kr. pr. gram CO2</w:t>
            </w:r>
          </w:p>
        </w:tc>
      </w:tr>
    </w:tbl>
    <w:p w14:paraId="4FE83A59" w14:textId="77777777" w:rsidR="007B1271" w:rsidRDefault="007B1271" w:rsidP="007B1271">
      <w:pPr>
        <w:pStyle w:val="BodyText"/>
      </w:pPr>
    </w:p>
    <w:p w14:paraId="1B134552" w14:textId="77777777" w:rsidR="007B1271" w:rsidRDefault="007B1271" w:rsidP="007B1271">
      <w:pPr>
        <w:pStyle w:val="BodyText"/>
      </w:pPr>
      <w:r>
        <w:t>Tillægget beregnes med den angivne sats for den del af udledningen, der ligger inden for det pågældende interval. Udleder et køretøj eksempelvis 136 gram CO2, beregnes tillægget derfor som 125 x 250 kr. + (136-125) x 500 kr. = 36.750 kr.</w:t>
      </w:r>
    </w:p>
    <w:p w14:paraId="4D571E39" w14:textId="77777777" w:rsidR="007B1271" w:rsidRDefault="007B1271" w:rsidP="007B1271">
      <w:pPr>
        <w:pStyle w:val="BodyText"/>
      </w:pPr>
      <w:r>
        <w:t>For vare- og lastbiler med en tilladt totalvægt på op til 4 t samt autocampere udgør tillægget 250 kr. pr. gram CO2 uanset den totale udledning.</w:t>
      </w:r>
    </w:p>
    <w:p w14:paraId="222F5CD5" w14:textId="77777777" w:rsidR="007B1271" w:rsidRDefault="007B1271" w:rsidP="007B1271">
      <w:pPr>
        <w:pStyle w:val="Heading9"/>
      </w:pPr>
      <w:r>
        <w:t>N</w:t>
      </w:r>
      <w:r w:rsidRPr="001D6F00">
        <w:t>ye skalaknæk</w:t>
      </w:r>
    </w:p>
    <w:p w14:paraId="0C905E1F" w14:textId="77777777" w:rsidR="007B1271" w:rsidRPr="00CE10B0" w:rsidRDefault="007B1271" w:rsidP="007B1271">
      <w:pPr>
        <w:pStyle w:val="BodyText"/>
      </w:pPr>
      <w:r w:rsidRPr="00CE10B0">
        <w:t>Registreringsafgiften fastsættes med stigende procentsatser, jo højere køretøjets afgiftspligtige værdi er - de såkaldte skalaknæk. De eksisterende skalaknæk ændres for alle motorkøretøjer.</w:t>
      </w:r>
    </w:p>
    <w:p w14:paraId="197781D0" w14:textId="77777777" w:rsidR="007B1271" w:rsidRPr="00CE10B0" w:rsidRDefault="007B1271" w:rsidP="007B1271">
      <w:pPr>
        <w:pStyle w:val="BodyText"/>
      </w:pPr>
      <w:r w:rsidRPr="00CE10B0">
        <w:t>De nye skalaknæk for personbiler er som følger:</w:t>
      </w:r>
    </w:p>
    <w:tbl>
      <w:tblPr>
        <w:tblW w:w="6742" w:type="dxa"/>
        <w:tblCellMar>
          <w:top w:w="15" w:type="dxa"/>
          <w:left w:w="15" w:type="dxa"/>
          <w:bottom w:w="15" w:type="dxa"/>
          <w:right w:w="15" w:type="dxa"/>
        </w:tblCellMar>
        <w:tblLook w:val="04A0" w:firstRow="1" w:lastRow="0" w:firstColumn="1" w:lastColumn="0" w:noHBand="0" w:noVBand="1"/>
      </w:tblPr>
      <w:tblGrid>
        <w:gridCol w:w="3371"/>
        <w:gridCol w:w="3371"/>
      </w:tblGrid>
      <w:tr w:rsidR="007B1271" w:rsidRPr="00CE10B0" w14:paraId="0986359C" w14:textId="77777777" w:rsidTr="003A3BF5">
        <w:tc>
          <w:tcPr>
            <w:tcW w:w="3363" w:type="dxa"/>
            <w:tcBorders>
              <w:top w:val="single" w:sz="2" w:space="0" w:color="E5E5E5"/>
              <w:left w:val="single" w:sz="2" w:space="0" w:color="E5E5E5"/>
              <w:bottom w:val="single" w:sz="2" w:space="0" w:color="E5E5E5"/>
              <w:right w:val="single" w:sz="2" w:space="0" w:color="E5E5E5"/>
            </w:tcBorders>
            <w:hideMark/>
          </w:tcPr>
          <w:p w14:paraId="18BBC508" w14:textId="77777777" w:rsidR="007B1271" w:rsidRPr="00CE10B0" w:rsidRDefault="007B1271" w:rsidP="003A3BF5">
            <w:pPr>
              <w:pStyle w:val="BodyText"/>
            </w:pPr>
            <w:r w:rsidRPr="00CE10B0">
              <w:t>0-65.000 kr. </w:t>
            </w:r>
          </w:p>
        </w:tc>
        <w:tc>
          <w:tcPr>
            <w:tcW w:w="3363" w:type="dxa"/>
            <w:tcBorders>
              <w:top w:val="single" w:sz="2" w:space="0" w:color="E5E5E5"/>
              <w:left w:val="single" w:sz="2" w:space="0" w:color="E5E5E5"/>
              <w:bottom w:val="single" w:sz="2" w:space="0" w:color="E5E5E5"/>
              <w:right w:val="single" w:sz="2" w:space="0" w:color="E5E5E5"/>
            </w:tcBorders>
            <w:hideMark/>
          </w:tcPr>
          <w:p w14:paraId="76828DC8" w14:textId="77777777" w:rsidR="007B1271" w:rsidRPr="00CE10B0" w:rsidRDefault="007B1271" w:rsidP="003A3BF5">
            <w:pPr>
              <w:pStyle w:val="BodyText"/>
            </w:pPr>
            <w:r w:rsidRPr="00CE10B0">
              <w:t>25 pct. afgift </w:t>
            </w:r>
          </w:p>
        </w:tc>
      </w:tr>
      <w:tr w:rsidR="007B1271" w:rsidRPr="00CE10B0" w14:paraId="584228ED" w14:textId="77777777" w:rsidTr="003A3BF5">
        <w:tc>
          <w:tcPr>
            <w:tcW w:w="3363" w:type="dxa"/>
            <w:tcBorders>
              <w:top w:val="single" w:sz="2" w:space="0" w:color="E5E5E5"/>
              <w:left w:val="single" w:sz="2" w:space="0" w:color="E5E5E5"/>
              <w:bottom w:val="single" w:sz="2" w:space="0" w:color="E5E5E5"/>
              <w:right w:val="single" w:sz="2" w:space="0" w:color="E5E5E5"/>
            </w:tcBorders>
            <w:hideMark/>
          </w:tcPr>
          <w:p w14:paraId="7CC35033" w14:textId="77777777" w:rsidR="007B1271" w:rsidRPr="00CE10B0" w:rsidRDefault="007B1271" w:rsidP="003A3BF5">
            <w:pPr>
              <w:pStyle w:val="BodyText"/>
            </w:pPr>
            <w:r w:rsidRPr="00CE10B0">
              <w:t>65.000-202.200 kr.</w:t>
            </w:r>
          </w:p>
        </w:tc>
        <w:tc>
          <w:tcPr>
            <w:tcW w:w="3363" w:type="dxa"/>
            <w:tcBorders>
              <w:top w:val="single" w:sz="2" w:space="0" w:color="E5E5E5"/>
              <w:left w:val="single" w:sz="2" w:space="0" w:color="E5E5E5"/>
              <w:bottom w:val="single" w:sz="2" w:space="0" w:color="E5E5E5"/>
              <w:right w:val="single" w:sz="2" w:space="0" w:color="E5E5E5"/>
            </w:tcBorders>
            <w:hideMark/>
          </w:tcPr>
          <w:p w14:paraId="6BE8AD02" w14:textId="77777777" w:rsidR="007B1271" w:rsidRPr="00CE10B0" w:rsidRDefault="007B1271" w:rsidP="003A3BF5">
            <w:pPr>
              <w:pStyle w:val="BodyText"/>
            </w:pPr>
            <w:r w:rsidRPr="00CE10B0">
              <w:t>85 pct. afgift</w:t>
            </w:r>
          </w:p>
        </w:tc>
      </w:tr>
      <w:tr w:rsidR="007B1271" w:rsidRPr="00CE10B0" w14:paraId="1A76DB67" w14:textId="77777777" w:rsidTr="003A3BF5">
        <w:tc>
          <w:tcPr>
            <w:tcW w:w="3363" w:type="dxa"/>
            <w:tcBorders>
              <w:top w:val="single" w:sz="2" w:space="0" w:color="E5E5E5"/>
              <w:left w:val="single" w:sz="2" w:space="0" w:color="E5E5E5"/>
              <w:bottom w:val="single" w:sz="2" w:space="0" w:color="E5E5E5"/>
              <w:right w:val="single" w:sz="2" w:space="0" w:color="E5E5E5"/>
            </w:tcBorders>
            <w:hideMark/>
          </w:tcPr>
          <w:p w14:paraId="7D28E808" w14:textId="77777777" w:rsidR="007B1271" w:rsidRPr="00CE10B0" w:rsidRDefault="007B1271" w:rsidP="003A3BF5">
            <w:pPr>
              <w:pStyle w:val="BodyText"/>
            </w:pPr>
            <w:r w:rsidRPr="00CE10B0">
              <w:lastRenderedPageBreak/>
              <w:t>Over 202.200 kr.</w:t>
            </w:r>
          </w:p>
        </w:tc>
        <w:tc>
          <w:tcPr>
            <w:tcW w:w="3363" w:type="dxa"/>
            <w:tcBorders>
              <w:top w:val="single" w:sz="2" w:space="0" w:color="E5E5E5"/>
              <w:left w:val="single" w:sz="2" w:space="0" w:color="E5E5E5"/>
              <w:bottom w:val="single" w:sz="2" w:space="0" w:color="E5E5E5"/>
              <w:right w:val="single" w:sz="2" w:space="0" w:color="E5E5E5"/>
            </w:tcBorders>
            <w:hideMark/>
          </w:tcPr>
          <w:p w14:paraId="255A763D" w14:textId="77777777" w:rsidR="007B1271" w:rsidRPr="00CE10B0" w:rsidRDefault="007B1271" w:rsidP="003A3BF5">
            <w:pPr>
              <w:pStyle w:val="BodyText"/>
            </w:pPr>
            <w:r w:rsidRPr="00CE10B0">
              <w:t>150 pct. afgift</w:t>
            </w:r>
          </w:p>
        </w:tc>
      </w:tr>
    </w:tbl>
    <w:p w14:paraId="5CCBBEB4" w14:textId="77777777" w:rsidR="007B1271" w:rsidRDefault="007B1271" w:rsidP="007B1271">
      <w:pPr>
        <w:pStyle w:val="BodyText"/>
      </w:pPr>
    </w:p>
    <w:p w14:paraId="0F5FF9C0" w14:textId="77777777" w:rsidR="007B1271" w:rsidRPr="00CE10B0" w:rsidRDefault="007B1271" w:rsidP="007B1271">
      <w:pPr>
        <w:pStyle w:val="BodyText"/>
      </w:pPr>
      <w:r w:rsidRPr="00CE10B0">
        <w:t>De nye skalaknæk for motorcykler, er som følger:      </w:t>
      </w:r>
    </w:p>
    <w:tbl>
      <w:tblPr>
        <w:tblW w:w="6742" w:type="dxa"/>
        <w:tblCellMar>
          <w:top w:w="15" w:type="dxa"/>
          <w:left w:w="15" w:type="dxa"/>
          <w:bottom w:w="15" w:type="dxa"/>
          <w:right w:w="15" w:type="dxa"/>
        </w:tblCellMar>
        <w:tblLook w:val="04A0" w:firstRow="1" w:lastRow="0" w:firstColumn="1" w:lastColumn="0" w:noHBand="0" w:noVBand="1"/>
      </w:tblPr>
      <w:tblGrid>
        <w:gridCol w:w="3371"/>
        <w:gridCol w:w="3371"/>
      </w:tblGrid>
      <w:tr w:rsidR="007B1271" w:rsidRPr="00CE10B0" w14:paraId="6BC389D3" w14:textId="77777777" w:rsidTr="003A3BF5">
        <w:tc>
          <w:tcPr>
            <w:tcW w:w="3363" w:type="dxa"/>
            <w:tcBorders>
              <w:top w:val="single" w:sz="2" w:space="0" w:color="E5E5E5"/>
              <w:left w:val="single" w:sz="2" w:space="0" w:color="E5E5E5"/>
              <w:bottom w:val="single" w:sz="2" w:space="0" w:color="E5E5E5"/>
              <w:right w:val="single" w:sz="2" w:space="0" w:color="E5E5E5"/>
            </w:tcBorders>
            <w:hideMark/>
          </w:tcPr>
          <w:p w14:paraId="6FFD05FA" w14:textId="77777777" w:rsidR="007B1271" w:rsidRPr="00CE10B0" w:rsidRDefault="007B1271" w:rsidP="003A3BF5">
            <w:pPr>
              <w:pStyle w:val="BodyText"/>
            </w:pPr>
            <w:r w:rsidRPr="00CE10B0">
              <w:t>0-20.000 kr. </w:t>
            </w:r>
          </w:p>
        </w:tc>
        <w:tc>
          <w:tcPr>
            <w:tcW w:w="3363" w:type="dxa"/>
            <w:tcBorders>
              <w:top w:val="single" w:sz="2" w:space="0" w:color="E5E5E5"/>
              <w:left w:val="single" w:sz="2" w:space="0" w:color="E5E5E5"/>
              <w:bottom w:val="single" w:sz="2" w:space="0" w:color="E5E5E5"/>
              <w:right w:val="single" w:sz="2" w:space="0" w:color="E5E5E5"/>
            </w:tcBorders>
            <w:hideMark/>
          </w:tcPr>
          <w:p w14:paraId="58DB2FBF" w14:textId="77777777" w:rsidR="007B1271" w:rsidRPr="00CE10B0" w:rsidRDefault="007B1271" w:rsidP="003A3BF5">
            <w:pPr>
              <w:pStyle w:val="BodyText"/>
            </w:pPr>
            <w:r w:rsidRPr="00CE10B0">
              <w:t>25 pct. afgift  </w:t>
            </w:r>
          </w:p>
        </w:tc>
      </w:tr>
      <w:tr w:rsidR="007B1271" w:rsidRPr="00CE10B0" w14:paraId="18D601FD" w14:textId="77777777" w:rsidTr="003A3BF5">
        <w:tc>
          <w:tcPr>
            <w:tcW w:w="3363" w:type="dxa"/>
            <w:tcBorders>
              <w:top w:val="single" w:sz="2" w:space="0" w:color="E5E5E5"/>
              <w:left w:val="single" w:sz="2" w:space="0" w:color="E5E5E5"/>
              <w:bottom w:val="single" w:sz="2" w:space="0" w:color="E5E5E5"/>
              <w:right w:val="single" w:sz="2" w:space="0" w:color="E5E5E5"/>
            </w:tcBorders>
            <w:hideMark/>
          </w:tcPr>
          <w:p w14:paraId="478B62E1" w14:textId="77777777" w:rsidR="007B1271" w:rsidRPr="00CE10B0" w:rsidRDefault="007B1271" w:rsidP="003A3BF5">
            <w:pPr>
              <w:pStyle w:val="BodyText"/>
            </w:pPr>
            <w:r w:rsidRPr="00CE10B0">
              <w:t>20.000-68.000 kr. </w:t>
            </w:r>
          </w:p>
        </w:tc>
        <w:tc>
          <w:tcPr>
            <w:tcW w:w="3363" w:type="dxa"/>
            <w:tcBorders>
              <w:top w:val="single" w:sz="2" w:space="0" w:color="E5E5E5"/>
              <w:left w:val="single" w:sz="2" w:space="0" w:color="E5E5E5"/>
              <w:bottom w:val="single" w:sz="2" w:space="0" w:color="E5E5E5"/>
              <w:right w:val="single" w:sz="2" w:space="0" w:color="E5E5E5"/>
            </w:tcBorders>
            <w:hideMark/>
          </w:tcPr>
          <w:p w14:paraId="495D3C10" w14:textId="77777777" w:rsidR="007B1271" w:rsidRPr="00CE10B0" w:rsidRDefault="007B1271" w:rsidP="003A3BF5">
            <w:pPr>
              <w:pStyle w:val="BodyText"/>
            </w:pPr>
            <w:r w:rsidRPr="00CE10B0">
              <w:t>85 pct. afgift</w:t>
            </w:r>
          </w:p>
        </w:tc>
      </w:tr>
      <w:tr w:rsidR="007B1271" w:rsidRPr="00CE10B0" w14:paraId="50A683B4" w14:textId="77777777" w:rsidTr="003A3BF5">
        <w:tc>
          <w:tcPr>
            <w:tcW w:w="3363" w:type="dxa"/>
            <w:tcBorders>
              <w:top w:val="single" w:sz="2" w:space="0" w:color="E5E5E5"/>
              <w:left w:val="single" w:sz="2" w:space="0" w:color="E5E5E5"/>
              <w:bottom w:val="single" w:sz="2" w:space="0" w:color="E5E5E5"/>
              <w:right w:val="single" w:sz="2" w:space="0" w:color="E5E5E5"/>
            </w:tcBorders>
            <w:hideMark/>
          </w:tcPr>
          <w:p w14:paraId="65170805" w14:textId="77777777" w:rsidR="007B1271" w:rsidRPr="00CE10B0" w:rsidRDefault="007B1271" w:rsidP="003A3BF5">
            <w:pPr>
              <w:pStyle w:val="BodyText"/>
            </w:pPr>
            <w:r w:rsidRPr="00CE10B0">
              <w:t>Over 68.000 kr. </w:t>
            </w:r>
          </w:p>
        </w:tc>
        <w:tc>
          <w:tcPr>
            <w:tcW w:w="3363" w:type="dxa"/>
            <w:tcBorders>
              <w:top w:val="single" w:sz="2" w:space="0" w:color="E5E5E5"/>
              <w:left w:val="single" w:sz="2" w:space="0" w:color="E5E5E5"/>
              <w:bottom w:val="single" w:sz="2" w:space="0" w:color="E5E5E5"/>
              <w:right w:val="single" w:sz="2" w:space="0" w:color="E5E5E5"/>
            </w:tcBorders>
            <w:hideMark/>
          </w:tcPr>
          <w:p w14:paraId="3F9BA21A" w14:textId="77777777" w:rsidR="007B1271" w:rsidRPr="00CE10B0" w:rsidRDefault="007B1271" w:rsidP="003A3BF5">
            <w:pPr>
              <w:pStyle w:val="BodyText"/>
            </w:pPr>
            <w:r w:rsidRPr="00CE10B0">
              <w:t>150 pct. afgift</w:t>
            </w:r>
          </w:p>
        </w:tc>
      </w:tr>
    </w:tbl>
    <w:p w14:paraId="1F177C71" w14:textId="77777777" w:rsidR="007B1271" w:rsidRPr="00CE10B0" w:rsidRDefault="007B1271" w:rsidP="007B1271">
      <w:pPr>
        <w:pStyle w:val="BodyText"/>
      </w:pPr>
      <w:r w:rsidRPr="00CE10B0">
        <w:t>De nye skalaknæk for vare- og lastbiler med en tilladt totalvægt på op til 4 t, er som følger: </w:t>
      </w:r>
    </w:p>
    <w:tbl>
      <w:tblPr>
        <w:tblW w:w="6742" w:type="dxa"/>
        <w:tblCellMar>
          <w:top w:w="15" w:type="dxa"/>
          <w:left w:w="15" w:type="dxa"/>
          <w:bottom w:w="15" w:type="dxa"/>
          <w:right w:w="15" w:type="dxa"/>
        </w:tblCellMar>
        <w:tblLook w:val="04A0" w:firstRow="1" w:lastRow="0" w:firstColumn="1" w:lastColumn="0" w:noHBand="0" w:noVBand="1"/>
      </w:tblPr>
      <w:tblGrid>
        <w:gridCol w:w="3371"/>
        <w:gridCol w:w="3371"/>
      </w:tblGrid>
      <w:tr w:rsidR="007B1271" w:rsidRPr="00CE10B0" w14:paraId="30B18807" w14:textId="77777777" w:rsidTr="003A3BF5">
        <w:tc>
          <w:tcPr>
            <w:tcW w:w="3363" w:type="dxa"/>
            <w:tcBorders>
              <w:top w:val="single" w:sz="2" w:space="0" w:color="E5E5E5"/>
              <w:left w:val="single" w:sz="2" w:space="0" w:color="E5E5E5"/>
              <w:bottom w:val="single" w:sz="2" w:space="0" w:color="E5E5E5"/>
              <w:right w:val="single" w:sz="2" w:space="0" w:color="E5E5E5"/>
            </w:tcBorders>
            <w:hideMark/>
          </w:tcPr>
          <w:p w14:paraId="630DABAD" w14:textId="77777777" w:rsidR="007B1271" w:rsidRPr="00CE10B0" w:rsidRDefault="007B1271" w:rsidP="003A3BF5">
            <w:pPr>
              <w:pStyle w:val="BodyText"/>
            </w:pPr>
            <w:r w:rsidRPr="00CE10B0">
              <w:t>0-75.000 kr.</w:t>
            </w:r>
          </w:p>
        </w:tc>
        <w:tc>
          <w:tcPr>
            <w:tcW w:w="3363" w:type="dxa"/>
            <w:tcBorders>
              <w:top w:val="single" w:sz="2" w:space="0" w:color="E5E5E5"/>
              <w:left w:val="single" w:sz="2" w:space="0" w:color="E5E5E5"/>
              <w:bottom w:val="single" w:sz="2" w:space="0" w:color="E5E5E5"/>
              <w:right w:val="single" w:sz="2" w:space="0" w:color="E5E5E5"/>
            </w:tcBorders>
            <w:hideMark/>
          </w:tcPr>
          <w:p w14:paraId="1E8007A2" w14:textId="77777777" w:rsidR="007B1271" w:rsidRPr="00CE10B0" w:rsidRDefault="007B1271" w:rsidP="003A3BF5">
            <w:pPr>
              <w:pStyle w:val="BodyText"/>
            </w:pPr>
            <w:r w:rsidRPr="00CE10B0">
              <w:t>0 pct. afgift</w:t>
            </w:r>
          </w:p>
        </w:tc>
      </w:tr>
      <w:tr w:rsidR="007B1271" w:rsidRPr="00CE10B0" w14:paraId="44C5BD8A" w14:textId="77777777" w:rsidTr="003A3BF5">
        <w:tc>
          <w:tcPr>
            <w:tcW w:w="3363" w:type="dxa"/>
            <w:tcBorders>
              <w:top w:val="single" w:sz="2" w:space="0" w:color="E5E5E5"/>
              <w:left w:val="single" w:sz="2" w:space="0" w:color="E5E5E5"/>
              <w:bottom w:val="single" w:sz="2" w:space="0" w:color="E5E5E5"/>
              <w:right w:val="single" w:sz="2" w:space="0" w:color="E5E5E5"/>
            </w:tcBorders>
            <w:hideMark/>
          </w:tcPr>
          <w:p w14:paraId="25BC3489" w14:textId="77777777" w:rsidR="007B1271" w:rsidRPr="00CE10B0" w:rsidRDefault="007B1271" w:rsidP="003A3BF5">
            <w:pPr>
              <w:pStyle w:val="BodyText"/>
            </w:pPr>
            <w:r w:rsidRPr="00CE10B0">
              <w:t>Over 75.000 kr.</w:t>
            </w:r>
          </w:p>
        </w:tc>
        <w:tc>
          <w:tcPr>
            <w:tcW w:w="3363" w:type="dxa"/>
            <w:tcBorders>
              <w:top w:val="single" w:sz="2" w:space="0" w:color="E5E5E5"/>
              <w:left w:val="single" w:sz="2" w:space="0" w:color="E5E5E5"/>
              <w:bottom w:val="single" w:sz="2" w:space="0" w:color="E5E5E5"/>
              <w:right w:val="single" w:sz="2" w:space="0" w:color="E5E5E5"/>
            </w:tcBorders>
            <w:hideMark/>
          </w:tcPr>
          <w:p w14:paraId="403823E4" w14:textId="77777777" w:rsidR="007B1271" w:rsidRPr="00CE10B0" w:rsidRDefault="007B1271" w:rsidP="003A3BF5">
            <w:pPr>
              <w:pStyle w:val="BodyText"/>
            </w:pPr>
            <w:r w:rsidRPr="00CE10B0">
              <w:t>50 pct. afgift</w:t>
            </w:r>
          </w:p>
        </w:tc>
      </w:tr>
    </w:tbl>
    <w:p w14:paraId="71053D8F" w14:textId="77777777" w:rsidR="007B1271" w:rsidRDefault="007B1271" w:rsidP="007B1271">
      <w:pPr>
        <w:pStyle w:val="BodyText"/>
      </w:pPr>
    </w:p>
    <w:p w14:paraId="71177C66" w14:textId="77777777" w:rsidR="007B1271" w:rsidRPr="00CE10B0" w:rsidRDefault="007B1271" w:rsidP="007B1271">
      <w:pPr>
        <w:pStyle w:val="BodyText"/>
      </w:pPr>
      <w:r w:rsidRPr="00CE10B0">
        <w:t xml:space="preserve">Ovenstående skalaknæk og afgiftssats omfatter også de varebiler, der efter </w:t>
      </w:r>
      <w:r>
        <w:t>hidtidige</w:t>
      </w:r>
      <w:r w:rsidRPr="00CE10B0">
        <w:t xml:space="preserve"> regler</w:t>
      </w:r>
      <w:r>
        <w:t xml:space="preserve"> er blevet</w:t>
      </w:r>
      <w:r w:rsidRPr="00CE10B0">
        <w:t xml:space="preserve"> afgiftsberigtige</w:t>
      </w:r>
      <w:r>
        <w:t>t</w:t>
      </w:r>
      <w:r w:rsidRPr="00CE10B0">
        <w:t xml:space="preserve"> med en afgiftssats på 30 pct. Der vil således ikke længere være en kategori af varebiler, hvor der beregnes registreringsafgift med en sats på 30 pct.</w:t>
      </w:r>
    </w:p>
    <w:p w14:paraId="2D0C5329" w14:textId="77777777" w:rsidR="007B1271" w:rsidRDefault="007B1271" w:rsidP="007B1271">
      <w:pPr>
        <w:pStyle w:val="BodyText"/>
      </w:pPr>
      <w:r>
        <w:t>R</w:t>
      </w:r>
      <w:r w:rsidRPr="00CE10B0">
        <w:t>egistreringsafgiften for vare- og lastbiler, som er enten åbne eller uden sideruder bag førersædet i bilens venstre side, herunder uden udskæring til sideruder bag førersiden i venstre side (</w:t>
      </w:r>
      <w:proofErr w:type="spellStart"/>
      <w:r w:rsidRPr="00CE10B0">
        <w:t>pick-ups</w:t>
      </w:r>
      <w:proofErr w:type="spellEnd"/>
      <w:r w:rsidRPr="00CE10B0">
        <w:t xml:space="preserve"> og kassevogne),</w:t>
      </w:r>
      <w:r>
        <w:t xml:space="preserve"> kan</w:t>
      </w:r>
      <w:r w:rsidRPr="00CE10B0">
        <w:t xml:space="preserve"> </w:t>
      </w:r>
      <w:r>
        <w:t xml:space="preserve">- </w:t>
      </w:r>
      <w:r w:rsidRPr="00CE10B0">
        <w:t>hvis varebilens tilladte totalvægt er over 3 t.</w:t>
      </w:r>
      <w:r>
        <w:t xml:space="preserve"> - </w:t>
      </w:r>
      <w:r w:rsidRPr="00CE10B0">
        <w:t>fremadrettet højst udgøre 47.000 kr. - også efter beregning af tillæg for CO2-udledning.</w:t>
      </w:r>
    </w:p>
    <w:p w14:paraId="4CDF1A58" w14:textId="77777777" w:rsidR="007B1271" w:rsidRDefault="007B1271" w:rsidP="007B1271">
      <w:pPr>
        <w:pStyle w:val="Heading9"/>
      </w:pPr>
      <w:bookmarkStart w:id="53" w:name="_Hlk83733913"/>
      <w:r>
        <w:t xml:space="preserve">Nye regler for el- og plug-in-hybridbiler mv. </w:t>
      </w:r>
      <w:bookmarkEnd w:id="53"/>
    </w:p>
    <w:p w14:paraId="260282A1" w14:textId="77777777" w:rsidR="007B1271" w:rsidRDefault="007B1271" w:rsidP="007B1271">
      <w:pPr>
        <w:pStyle w:val="BodyText"/>
      </w:pPr>
      <w:r>
        <w:t>Der gennemføres væsentlige ændringer af reglerne om elbiler, plug-in-hybridbiler mv. De hidtidige regler ophæves og erstattes med en ny teknologineutral ordning, hvor henholdsvis nul-emissionsbiler (0 g CO2 pr. kilometer, typisk elbiler) og lav-emissionsbiler (højst 50 g CO2 pr. kilometer, fx visse plug-in-hybridbiler) får særligt fordelagtige afgiftsvilkår. En række af elementerne i ordningen svarer dog til dem, man har kendt hidtil, herunder fx batterifradrag.</w:t>
      </w:r>
    </w:p>
    <w:p w14:paraId="495A1A1A" w14:textId="77777777" w:rsidR="007B1271" w:rsidRDefault="007B1271" w:rsidP="007B1271">
      <w:pPr>
        <w:pStyle w:val="BodyText"/>
      </w:pPr>
      <w:r>
        <w:t>Der lægges op til indfasning af registreringsafgift for nul-emissionsbiler og lav-emissionsbiler fra 2021 til 2035 i forskellige tempi, ligesom der indføres nye bundfradrag for disse biler.</w:t>
      </w:r>
    </w:p>
    <w:p w14:paraId="20A83974" w14:textId="77777777" w:rsidR="007B1271" w:rsidRDefault="007B1271" w:rsidP="007B1271">
      <w:pPr>
        <w:pStyle w:val="Heading4"/>
      </w:pPr>
      <w:bookmarkStart w:id="54" w:name="_Hlk83736695"/>
      <w:r>
        <w:t>Nul-emissionsbiler og el- eller brændselscelledrevne motorcykler</w:t>
      </w:r>
    </w:p>
    <w:bookmarkEnd w:id="54"/>
    <w:p w14:paraId="70B0E118" w14:textId="77777777" w:rsidR="007B1271" w:rsidRPr="008424D5" w:rsidRDefault="007B1271" w:rsidP="007B1271">
      <w:pPr>
        <w:pStyle w:val="BodyText"/>
      </w:pPr>
      <w:r>
        <w:t>For nul-emissionsbiler indfases registreringsafgiften over en årrække i perioden 2021-2035</w:t>
      </w:r>
      <w:r w:rsidRPr="008424D5">
        <w:t xml:space="preserve">. Det vil sige biler, der udleder 0 g CO2 pr. kørt kilometer. Eldrevne eller brændselscelledrevne motorcykler er også delvist omfattet af reglerne. </w:t>
      </w:r>
      <w:r w:rsidRPr="008424D5">
        <w:lastRenderedPageBreak/>
        <w:t>Brændselscelledrevne køretøjer er fortsat fritaget for registreringsafgift, hvis køretøjet er anmeldt til registrering inden udgangen af 2021.</w:t>
      </w:r>
    </w:p>
    <w:p w14:paraId="4CB83A46" w14:textId="77777777" w:rsidR="007B1271" w:rsidRDefault="007B1271" w:rsidP="007B1271">
      <w:pPr>
        <w:pStyle w:val="BodyText"/>
      </w:pPr>
      <w:r w:rsidRPr="008424D5">
        <w:t xml:space="preserve">Fra og med den 18. december 2020 til og med den 31. december 2025 beregnes registreringsafgiften som </w:t>
      </w:r>
      <w:r w:rsidRPr="00466FC7">
        <w:rPr>
          <w:u w:val="single"/>
        </w:rPr>
        <w:t xml:space="preserve">40 pct. af afgiften efter de almindelige regler </w:t>
      </w:r>
      <w:r w:rsidRPr="008424D5">
        <w:t>jf. ovenfor (personbiler, varebiler mv.).</w:t>
      </w:r>
      <w:r>
        <w:t xml:space="preserve"> </w:t>
      </w:r>
    </w:p>
    <w:p w14:paraId="52A06047" w14:textId="77777777" w:rsidR="007B1271" w:rsidRDefault="007B1271" w:rsidP="007B1271">
      <w:pPr>
        <w:pStyle w:val="BodyText"/>
      </w:pPr>
      <w:r w:rsidRPr="008424D5">
        <w:t>Detaljer omkring indfasning</w:t>
      </w:r>
      <w:r>
        <w:t xml:space="preserve"> af afgiften samt nedtrapning af særlige fradrag</w:t>
      </w:r>
      <w:r w:rsidRPr="008424D5">
        <w:t xml:space="preserve"> mv. fra og med 2026 til 2035 fremgår her:</w:t>
      </w:r>
      <w:r>
        <w:t xml:space="preserve"> </w:t>
      </w:r>
    </w:p>
    <w:p w14:paraId="6D9A5D41" w14:textId="77777777" w:rsidR="007B1271" w:rsidRDefault="009A42BC" w:rsidP="007B1271">
      <w:pPr>
        <w:pStyle w:val="BodyText"/>
      </w:pPr>
      <w:hyperlink r:id="rId22" w:history="1">
        <w:r w:rsidR="007B1271" w:rsidRPr="00E30BE4">
          <w:rPr>
            <w:rStyle w:val="Hyperlink"/>
          </w:rPr>
          <w:t>https://skat.dk/skat.aspx?oid=2299953</w:t>
        </w:r>
      </w:hyperlink>
      <w:r w:rsidR="007B1271">
        <w:t xml:space="preserve"> </w:t>
      </w:r>
    </w:p>
    <w:p w14:paraId="55F8822B" w14:textId="77777777" w:rsidR="007B1271" w:rsidRDefault="007B1271" w:rsidP="007B1271">
      <w:pPr>
        <w:pStyle w:val="Heading4"/>
      </w:pPr>
      <w:bookmarkStart w:id="55" w:name="_Hlk83736768"/>
      <w:r>
        <w:t>Lav-emissionsbiler</w:t>
      </w:r>
    </w:p>
    <w:bookmarkEnd w:id="55"/>
    <w:p w14:paraId="39A699B1" w14:textId="77777777" w:rsidR="007B1271" w:rsidRDefault="007B1271" w:rsidP="007B1271">
      <w:pPr>
        <w:pStyle w:val="BodyText"/>
      </w:pPr>
      <w:r>
        <w:t>Ved lav-emissionsbiler forstås biler, der udleder mere end 0 men mindre end 50 g CO2 pr. kilometer. Dette vil typisk omfatte visse plug-in-hybridbiler, men også nye klimavenlige teknologier må forventes at kunne opnå sådanne udledningstal. Motorcykler er ikke omfattet af disse regler.</w:t>
      </w:r>
    </w:p>
    <w:p w14:paraId="4762EE9F" w14:textId="77777777" w:rsidR="007B1271" w:rsidRPr="008424D5" w:rsidRDefault="007B1271" w:rsidP="007B1271">
      <w:pPr>
        <w:pStyle w:val="BodyText"/>
      </w:pPr>
      <w:r>
        <w:t xml:space="preserve">Fra og med den 18. december 2020 til og med den 31. december 2021 beregnes registreringsafgiften her som </w:t>
      </w:r>
      <w:r w:rsidRPr="00466FC7">
        <w:rPr>
          <w:u w:val="single"/>
        </w:rPr>
        <w:t>45 pct. af afgiften efter de almindelige regler</w:t>
      </w:r>
      <w:r>
        <w:t xml:space="preserve"> (personbiler, varebiler mv.). </w:t>
      </w:r>
    </w:p>
    <w:p w14:paraId="39692301" w14:textId="77777777" w:rsidR="007B1271" w:rsidRDefault="007B1271" w:rsidP="007B1271">
      <w:pPr>
        <w:pStyle w:val="BodyText"/>
      </w:pPr>
      <w:r w:rsidRPr="008424D5">
        <w:t>Detaljer omkring indfasning</w:t>
      </w:r>
      <w:r>
        <w:t xml:space="preserve"> af afgiften samt nedtrapning af særlige fradrag</w:t>
      </w:r>
      <w:r w:rsidRPr="008424D5">
        <w:t xml:space="preserve"> mv. fra og med 2026 til 2035 fremgår her:</w:t>
      </w:r>
      <w:r>
        <w:t xml:space="preserve"> </w:t>
      </w:r>
    </w:p>
    <w:p w14:paraId="285CE3AA" w14:textId="7CE5BA73" w:rsidR="007B1271" w:rsidRDefault="009A42BC" w:rsidP="007B1271">
      <w:pPr>
        <w:pStyle w:val="BodyText"/>
      </w:pPr>
      <w:hyperlink r:id="rId23" w:history="1">
        <w:r w:rsidR="007B1271" w:rsidRPr="00E30BE4">
          <w:rPr>
            <w:rStyle w:val="Hyperlink"/>
          </w:rPr>
          <w:t>https://skat.dk/skat.aspx?oid=2299953</w:t>
        </w:r>
      </w:hyperlink>
      <w:r w:rsidR="007B1271">
        <w:t xml:space="preserve"> </w:t>
      </w:r>
    </w:p>
    <w:p w14:paraId="0E96BBFD" w14:textId="77777777" w:rsidR="007B1271" w:rsidRDefault="007B1271" w:rsidP="007B1271">
      <w:pPr>
        <w:pStyle w:val="Heading9"/>
      </w:pPr>
      <w:r>
        <w:t>B</w:t>
      </w:r>
      <w:r w:rsidRPr="00DC6EEC">
        <w:t>eregning</w:t>
      </w:r>
      <w:r>
        <w:t xml:space="preserve">seksempler </w:t>
      </w:r>
      <w:r w:rsidRPr="00DC6EEC">
        <w:t>registreringsafgift</w:t>
      </w:r>
    </w:p>
    <w:p w14:paraId="47B69A79" w14:textId="77777777" w:rsidR="007B1271" w:rsidRDefault="007B1271" w:rsidP="007B1271">
      <w:pPr>
        <w:pStyle w:val="BodyText"/>
      </w:pPr>
      <w:r w:rsidRPr="00DC6EEC">
        <w:t xml:space="preserve">Eksempler på </w:t>
      </w:r>
      <w:bookmarkStart w:id="56" w:name="_Hlk83823828"/>
      <w:r w:rsidRPr="00DC6EEC">
        <w:t xml:space="preserve">beregning </w:t>
      </w:r>
      <w:bookmarkEnd w:id="56"/>
      <w:r w:rsidRPr="00DC6EEC">
        <w:t xml:space="preserve">af </w:t>
      </w:r>
      <w:bookmarkStart w:id="57" w:name="_Hlk83823880"/>
      <w:r w:rsidRPr="00DC6EEC">
        <w:t xml:space="preserve">registreringsafgift </w:t>
      </w:r>
      <w:bookmarkEnd w:id="57"/>
      <w:r w:rsidRPr="00DC6EEC">
        <w:t>på nye køretøjer indregistreret fra 18. december 2020</w:t>
      </w:r>
      <w:r>
        <w:t xml:space="preserve"> findes her:</w:t>
      </w:r>
    </w:p>
    <w:p w14:paraId="4350EB53" w14:textId="77777777" w:rsidR="007B1271" w:rsidRPr="004C17D7" w:rsidRDefault="009A42BC" w:rsidP="007B1271">
      <w:pPr>
        <w:pStyle w:val="BodyText"/>
      </w:pPr>
      <w:hyperlink r:id="rId24" w:history="1">
        <w:r w:rsidR="007B1271" w:rsidRPr="00DB2E05">
          <w:rPr>
            <w:rStyle w:val="Hyperlink"/>
          </w:rPr>
          <w:t>https://www.skat.dk/skat.aspx?oid=2302178</w:t>
        </w:r>
      </w:hyperlink>
      <w:r w:rsidR="007B1271">
        <w:t xml:space="preserve"> </w:t>
      </w:r>
    </w:p>
    <w:p w14:paraId="200F37A8" w14:textId="77777777" w:rsidR="007B1271" w:rsidRDefault="007B1271" w:rsidP="007B1271">
      <w:pPr>
        <w:pStyle w:val="Heading9"/>
      </w:pPr>
      <w:r>
        <w:t xml:space="preserve">Løbende/periodiske afgifter </w:t>
      </w:r>
    </w:p>
    <w:p w14:paraId="02D6E9E6" w14:textId="77777777" w:rsidR="007B1271" w:rsidRDefault="007B1271" w:rsidP="007B1271">
      <w:pPr>
        <w:pStyle w:val="BodyText"/>
      </w:pPr>
      <w:r>
        <w:t>Fra den 1. juli 2021 er der tre typer periodiske afgifter, som er bestemt af, hvornår dit køretøj er registreret første gang: vægtafgift, grøn ejerafgift og CO2-ejerafgift.</w:t>
      </w:r>
    </w:p>
    <w:p w14:paraId="09D7C312" w14:textId="77777777" w:rsidR="007B1271" w:rsidRDefault="007B1271" w:rsidP="007B1271">
      <w:pPr>
        <w:pStyle w:val="Heading9"/>
      </w:pPr>
      <w:r>
        <w:t>Vægtafgift</w:t>
      </w:r>
    </w:p>
    <w:p w14:paraId="35634AF4" w14:textId="77777777" w:rsidR="007B1271" w:rsidRDefault="007B1271" w:rsidP="007B1271">
      <w:pPr>
        <w:pStyle w:val="BodyText"/>
      </w:pPr>
      <w:r>
        <w:t>Vægtafgift gælder for personbiler, der er registreret første gang i Danmark før 1. juli 1997, og for varebiler registreret første gang i Danmark før 18. marts 2009.</w:t>
      </w:r>
    </w:p>
    <w:p w14:paraId="3D3F5311" w14:textId="77777777" w:rsidR="007B1271" w:rsidRDefault="007B1271" w:rsidP="007B1271">
      <w:pPr>
        <w:pStyle w:val="BodyText"/>
      </w:pPr>
      <w:r>
        <w:t>Vægtafgift bliver beregnet ud fra køretøjets vægt. Jo tungere køretøjet er, jo højere bliver vægtafgiften.</w:t>
      </w:r>
    </w:p>
    <w:p w14:paraId="416274F7" w14:textId="77777777" w:rsidR="007B1271" w:rsidRDefault="007B1271" w:rsidP="007B1271">
      <w:pPr>
        <w:pStyle w:val="Heading9"/>
      </w:pPr>
      <w:r>
        <w:lastRenderedPageBreak/>
        <w:t>Grøn ejerafgift</w:t>
      </w:r>
    </w:p>
    <w:p w14:paraId="792DEDA3" w14:textId="77777777" w:rsidR="007B1271" w:rsidRDefault="007B1271" w:rsidP="007B1271">
      <w:pPr>
        <w:pStyle w:val="BodyText"/>
      </w:pPr>
      <w:r>
        <w:t>Grøn ejerafgift gælder for personbiler (busser undtaget), der er registreret første gang i Danmark mellem 1. juli 1997 og 30 juni 2021, og for varebiler, der er registreret første gang i Danmark i perioden mellem 18. marts 2009 og 30. juni 2021.</w:t>
      </w:r>
    </w:p>
    <w:p w14:paraId="7202721C" w14:textId="77777777" w:rsidR="007B1271" w:rsidRDefault="007B1271" w:rsidP="007B1271">
      <w:pPr>
        <w:pStyle w:val="BodyText"/>
      </w:pPr>
      <w:r>
        <w:t>Grøn ejerafgift beregnes ud fra, hvor langt køretøjet kører pr. liter brændstof. Jo længere det kører, jo lavere bliver den grønne ejerafgift.</w:t>
      </w:r>
    </w:p>
    <w:p w14:paraId="62E08B97" w14:textId="77777777" w:rsidR="007B1271" w:rsidRDefault="007B1271" w:rsidP="007B1271">
      <w:pPr>
        <w:pStyle w:val="Heading9"/>
      </w:pPr>
      <w:r>
        <w:t>CO2-ejerafgift</w:t>
      </w:r>
    </w:p>
    <w:p w14:paraId="5B57FD97" w14:textId="77777777" w:rsidR="007B1271" w:rsidRDefault="007B1271" w:rsidP="007B1271">
      <w:pPr>
        <w:pStyle w:val="BodyText"/>
      </w:pPr>
      <w:r>
        <w:t>CO2-ejerafgift gælder for person- og varebiler (busser undtaget), der er registreret for første gang den 1. juli 2021 eller senere, uanset om første registrering er sket i Danmark eller udlandet.</w:t>
      </w:r>
    </w:p>
    <w:p w14:paraId="59A86C9C" w14:textId="77777777" w:rsidR="007B1271" w:rsidRDefault="007B1271" w:rsidP="007B1271">
      <w:pPr>
        <w:pStyle w:val="BodyText"/>
      </w:pPr>
      <w:r>
        <w:t xml:space="preserve">CO2-afgiften </w:t>
      </w:r>
      <w:bookmarkStart w:id="58" w:name="_Hlk83734164"/>
      <w:r>
        <w:t>beregnes ud fra, hvor mange gram CO2 køretøjet udleder pr. kilometer</w:t>
      </w:r>
      <w:bookmarkEnd w:id="58"/>
      <w:r>
        <w:t>. Jo mindre CO2, der udledes pr. kilometer, jo lavere bliver afgiften.</w:t>
      </w:r>
    </w:p>
    <w:p w14:paraId="2D5B85F3" w14:textId="77777777" w:rsidR="007B1271" w:rsidRDefault="007B1271" w:rsidP="007B1271">
      <w:pPr>
        <w:pStyle w:val="Heading9"/>
      </w:pPr>
      <w:r>
        <w:t>Udligningsafgift på dieselbiler</w:t>
      </w:r>
    </w:p>
    <w:p w14:paraId="2B2E769F" w14:textId="77777777" w:rsidR="007B1271" w:rsidRDefault="007B1271" w:rsidP="007B1271">
      <w:pPr>
        <w:pStyle w:val="BodyText"/>
      </w:pPr>
      <w:r>
        <w:t xml:space="preserve">Hvis du har et køretøj, der kører på diesel eller gas, skal du – udover vægtafgift, grøn ejerafgift eller CO2-ejerafgift – betale en </w:t>
      </w:r>
      <w:bookmarkStart w:id="59" w:name="_Hlk83396566"/>
      <w:r>
        <w:t>udligningsafgift</w:t>
      </w:r>
      <w:bookmarkEnd w:id="59"/>
      <w:r>
        <w:t>.</w:t>
      </w:r>
    </w:p>
    <w:p w14:paraId="30898635" w14:textId="77777777" w:rsidR="007B1271" w:rsidRDefault="007B1271" w:rsidP="007B1271">
      <w:pPr>
        <w:pStyle w:val="Heading9"/>
      </w:pPr>
      <w:bookmarkStart w:id="60" w:name="_Hlk83809722"/>
      <w:r>
        <w:t xml:space="preserve">Udvikling i de løbende afgifter </w:t>
      </w:r>
    </w:p>
    <w:p w14:paraId="26EE6DEE" w14:textId="77777777" w:rsidR="007B1271" w:rsidRDefault="007B1271" w:rsidP="007B1271">
      <w:pPr>
        <w:pStyle w:val="BodyText"/>
      </w:pPr>
      <w:r>
        <w:t xml:space="preserve">Satserne for vægtafgift, grøn ejerafgift og CO2-ejerafgift stiger årligt til og med 2026 med nedenstående procentsats i forhold til 2021-satserne. </w:t>
      </w:r>
    </w:p>
    <w:bookmarkEnd w:id="60"/>
    <w:p w14:paraId="23FC12AA" w14:textId="77777777" w:rsidR="007B1271" w:rsidRDefault="007B1271" w:rsidP="007B1271">
      <w:pPr>
        <w:pStyle w:val="BodyText"/>
      </w:pPr>
      <w:r>
        <w:t>År</w:t>
      </w:r>
      <w:r>
        <w:tab/>
        <w:t>Stigning i forhold til 2021-sats</w:t>
      </w:r>
    </w:p>
    <w:p w14:paraId="1864B703" w14:textId="77777777" w:rsidR="007B1271" w:rsidRDefault="007B1271" w:rsidP="007B1271">
      <w:pPr>
        <w:pStyle w:val="BodyText"/>
      </w:pPr>
      <w:r>
        <w:t>2022</w:t>
      </w:r>
      <w:r>
        <w:tab/>
        <w:t>3,0 pct.</w:t>
      </w:r>
    </w:p>
    <w:p w14:paraId="6ACDAADB" w14:textId="77777777" w:rsidR="007B1271" w:rsidRDefault="007B1271" w:rsidP="007B1271">
      <w:pPr>
        <w:pStyle w:val="BodyText"/>
      </w:pPr>
      <w:r>
        <w:t>2023</w:t>
      </w:r>
      <w:r>
        <w:tab/>
        <w:t>9,7 pct.</w:t>
      </w:r>
    </w:p>
    <w:p w14:paraId="6F20794F" w14:textId="77777777" w:rsidR="007B1271" w:rsidRDefault="007B1271" w:rsidP="007B1271">
      <w:pPr>
        <w:pStyle w:val="BodyText"/>
      </w:pPr>
      <w:r>
        <w:t>2024</w:t>
      </w:r>
      <w:r>
        <w:tab/>
        <w:t>16,8 pct.</w:t>
      </w:r>
    </w:p>
    <w:p w14:paraId="4BDABF50" w14:textId="77777777" w:rsidR="007B1271" w:rsidRDefault="007B1271" w:rsidP="007B1271">
      <w:pPr>
        <w:pStyle w:val="BodyText"/>
      </w:pPr>
      <w:r>
        <w:t>2025</w:t>
      </w:r>
      <w:r>
        <w:tab/>
        <w:t>24,4 pct.</w:t>
      </w:r>
    </w:p>
    <w:p w14:paraId="21EA4465" w14:textId="77777777" w:rsidR="007B1271" w:rsidRDefault="007B1271" w:rsidP="007B1271">
      <w:pPr>
        <w:pStyle w:val="BodyText"/>
      </w:pPr>
      <w:r>
        <w:t>2026</w:t>
      </w:r>
      <w:r>
        <w:tab/>
        <w:t>36,9 pct.</w:t>
      </w:r>
    </w:p>
    <w:p w14:paraId="334E927C" w14:textId="77777777" w:rsidR="007B1271" w:rsidRDefault="007B1271" w:rsidP="007B1271">
      <w:pPr>
        <w:pStyle w:val="BodyText"/>
      </w:pPr>
      <w:r>
        <w:t>Fra 2027 og frem betales afgift efter 2026-satserne.</w:t>
      </w:r>
    </w:p>
    <w:p w14:paraId="685676F0" w14:textId="77777777" w:rsidR="007B1271" w:rsidRDefault="007B1271" w:rsidP="007B1271">
      <w:pPr>
        <w:pStyle w:val="BodyText"/>
      </w:pPr>
    </w:p>
    <w:p w14:paraId="581DB17F" w14:textId="77777777" w:rsidR="007B1271" w:rsidRDefault="007B1271" w:rsidP="007B1271">
      <w:pPr>
        <w:pStyle w:val="BodyText"/>
      </w:pPr>
      <w:r>
        <w:t>U</w:t>
      </w:r>
      <w:r w:rsidRPr="00E50298">
        <w:t>dligningsafgift</w:t>
      </w:r>
      <w:r>
        <w:t>en stiger som udgangspunkt ikke.</w:t>
      </w:r>
    </w:p>
    <w:p w14:paraId="062F4CF3" w14:textId="77777777" w:rsidR="007B1271" w:rsidRDefault="007B1271" w:rsidP="007B1271">
      <w:pPr>
        <w:pStyle w:val="BodyText"/>
      </w:pPr>
    </w:p>
    <w:p w14:paraId="5FA7CAC3" w14:textId="77777777" w:rsidR="007B1271" w:rsidRDefault="007B1271" w:rsidP="007B1271">
      <w:pPr>
        <w:pStyle w:val="Heading4"/>
      </w:pPr>
      <w:r>
        <w:lastRenderedPageBreak/>
        <w:t xml:space="preserve">Satser 2021/2022 - </w:t>
      </w:r>
      <w:r w:rsidRPr="003E0C77">
        <w:t>Afgiftssatser i lov om afgift efter brændstofforbrug m.v. for visse person- og varebiler (brændstofforbrugsafgiftsloven)</w:t>
      </w:r>
    </w:p>
    <w:p w14:paraId="6917C796" w14:textId="77777777" w:rsidR="007B1271" w:rsidRPr="00BB4C37" w:rsidRDefault="007B1271" w:rsidP="007B1271">
      <w:pPr>
        <w:pStyle w:val="BodyText"/>
      </w:pPr>
      <w:r w:rsidRPr="00BB4C37">
        <w:t>Afgift af personbiler, der er registreret første gang den 1. juli 1997 eller senere, og som er indrettet til befordring af højst 9 personer føreren medregnet.</w:t>
      </w:r>
    </w:p>
    <w:p w14:paraId="5050C266" w14:textId="77777777" w:rsidR="007B1271" w:rsidRPr="00BB4C37" w:rsidRDefault="007B1271" w:rsidP="007B1271">
      <w:pPr>
        <w:pStyle w:val="BodyText"/>
      </w:pPr>
      <w:r w:rsidRPr="00BB4C37">
        <w:t>Fra 1. januar 2010 omfatter afgiften endvidere varebiler, der er registreret første gang som nye den 18. marts 2009 eller senere.</w:t>
      </w:r>
    </w:p>
    <w:p w14:paraId="453E9507" w14:textId="77777777" w:rsidR="007B1271" w:rsidRPr="00BB4C37" w:rsidRDefault="007B1271" w:rsidP="007B1271">
      <w:pPr>
        <w:pStyle w:val="BodyText"/>
      </w:pPr>
      <w:r w:rsidRPr="00BB4C37">
        <w:t>Af personbiler, der er indregistreret første gang før 1. juli 1997 og af varebiler, der er registreret før den 18. marts 2009, betales der vægtafgift, jf. </w:t>
      </w:r>
      <w:hyperlink r:id="rId25" w:tgtFrame="_blank" w:tooltip="V%c3%a6gtafgiftsloven" w:history="1">
        <w:r w:rsidRPr="00BB4C37">
          <w:rPr>
            <w:rStyle w:val="Hyperlink"/>
          </w:rPr>
          <w:t>Afgiftssatser i vægtafgiftsloven</w:t>
        </w:r>
      </w:hyperlink>
      <w:r w:rsidRPr="00BB4C37">
        <w:t>.</w:t>
      </w:r>
    </w:p>
    <w:p w14:paraId="0CE7FC72" w14:textId="77777777" w:rsidR="007B1271" w:rsidRPr="00BB4C37" w:rsidRDefault="007B1271" w:rsidP="007B1271">
      <w:pPr>
        <w:pStyle w:val="BodyText"/>
      </w:pPr>
      <w:r w:rsidRPr="00BB4C37">
        <w:t>Se også Den juridiske vejledning afsnit </w:t>
      </w:r>
      <w:hyperlink r:id="rId26" w:tgtFrame="_blank" w:history="1">
        <w:r w:rsidRPr="00BB4C37">
          <w:rPr>
            <w:rStyle w:val="Hyperlink"/>
          </w:rPr>
          <w:t>E.A.8.3 Brændstofforbrugsafgift</w:t>
        </w:r>
      </w:hyperlink>
    </w:p>
    <w:p w14:paraId="3ACC5F28" w14:textId="77777777" w:rsidR="007B1271" w:rsidRPr="00BB4C37" w:rsidRDefault="007B1271" w:rsidP="007B1271">
      <w:pPr>
        <w:pStyle w:val="BodyText"/>
      </w:pPr>
      <w:r w:rsidRPr="00BB4C37">
        <w:t>For varebiler omfattet af ejerafgiftsloven, der anvendes privat, betales tillæg til de i tabel A og B angivne satser. For varebiler registreret første gang den 25. april 2007 eller senere udgør tillægget 6.250 kr. pr. år i 2021 og 2022 for varebiler indtil 3.000 kg og 18.560 kr. pr. år for varebiler fra 3.001 kg til 3.500 kg. For varebiler, der anvendes delvist erhvervsmæssigt, er satsen det halve af ovennævnte, jf. vægtafgiftslovens § 4, stk. 1, tabelafsnit II A.</w:t>
      </w:r>
    </w:p>
    <w:p w14:paraId="4D6B4EC8" w14:textId="77777777" w:rsidR="007B1271" w:rsidRPr="00BB4C37" w:rsidRDefault="007B1271" w:rsidP="007B1271">
      <w:pPr>
        <w:pStyle w:val="BodyText"/>
      </w:pPr>
      <w:r w:rsidRPr="00BB4C37">
        <w:t>For dieseldrevne personbiler uden godkendt partikelfilter og dieseldrevne varebiler med en tilladt totalvægt på 3.500 kg. eller under, opkræves endvidere et tillæg på 1.000 kr. årligt.</w:t>
      </w:r>
    </w:p>
    <w:p w14:paraId="28BA32E9" w14:textId="77777777" w:rsidR="007B1271" w:rsidRPr="00BB4C37" w:rsidRDefault="007B1271" w:rsidP="007B1271">
      <w:pPr>
        <w:pStyle w:val="BodyText"/>
      </w:pPr>
      <w:r w:rsidRPr="00BB4C37">
        <w:t>Fra den 1. april 2010 opkræves endvidere et tillæg på 1.000 kr. årligt for alle dieseldrevne personbiler uden godkendt partikelfilter. Det samme gælder for dieseldrevne varebiler med en tilladt totalvægt på ikke over 3.500 kg., der er registreret første gang den 18. marts 2009 eller senere.</w:t>
      </w:r>
    </w:p>
    <w:p w14:paraId="0A3FEFD6" w14:textId="77777777" w:rsidR="007B1271" w:rsidRPr="00BB4C37" w:rsidRDefault="007B1271" w:rsidP="007B1271">
      <w:pPr>
        <w:pStyle w:val="BodyText"/>
      </w:pPr>
      <w:r w:rsidRPr="00BB4C37">
        <w:t>Med udmøntning af aftalen om Omlægning af bilafgifterne af 21. september 2017, (L 4, 2017/2018) forhøjes brændstofforbrugsafgiften (grøn ejerafgift) fra og med 2. halvår 2018 for nye personbiler, der er indregistreret første gang den 3. oktober 2017 eller senere, og der indføres nye trin for mere energieffektive personbiler, jf. tabel A2 og B2.</w:t>
      </w:r>
    </w:p>
    <w:p w14:paraId="51E09A64" w14:textId="77777777" w:rsidR="007B1271" w:rsidRPr="00BB4C37" w:rsidRDefault="007B1271" w:rsidP="007B1271">
      <w:pPr>
        <w:pStyle w:val="BodyText"/>
      </w:pPr>
      <w:r w:rsidRPr="00BB4C37">
        <w:t>Med aftalen om </w:t>
      </w:r>
      <w:r w:rsidRPr="00BB4C37">
        <w:rPr>
          <w:i/>
          <w:iCs/>
        </w:rPr>
        <w:t>Grøn omstilling af vejtransporten</w:t>
      </w:r>
      <w:r w:rsidRPr="00BB4C37">
        <w:t> af 4. december 2020 omlægges ejer- og udligningsafgiften for nye biler fra en afgift, der er differentieret efter, hvor langt bilerne kører på hhv. en liter benzin og diesel, til en afgift, der er differentieret efter, hvor mange gram CO2 de udleder pr. km., jf. tabel C. Omlægningen får virkning for køretøjer, der indregistreres den 1. juli 2021 eller senere. Derudover forhøjes forbrugsafgiften med 3 pct. i 2022.</w:t>
      </w:r>
    </w:p>
    <w:p w14:paraId="308FCA44" w14:textId="77777777" w:rsidR="007B1271" w:rsidRDefault="007B1271" w:rsidP="007B1271">
      <w:pPr>
        <w:pStyle w:val="BodyText"/>
      </w:pPr>
      <w:r>
        <w:t xml:space="preserve">Link til konkrete satser: </w:t>
      </w:r>
      <w:hyperlink r:id="rId27" w:history="1">
        <w:r w:rsidRPr="008D22CF">
          <w:rPr>
            <w:rStyle w:val="Hyperlink"/>
          </w:rPr>
          <w:t>https://www.skm.dk/skattetal/satser/satser-og-beloebsgraenser-i-lovgivningen/braendstofforbrugsafgiftsloven</w:t>
        </w:r>
      </w:hyperlink>
    </w:p>
    <w:p w14:paraId="6E480F4D" w14:textId="77777777" w:rsidR="00B073DA" w:rsidRPr="00B073DA" w:rsidRDefault="00B073DA" w:rsidP="007B1271">
      <w:pPr>
        <w:pStyle w:val="BodyText"/>
      </w:pPr>
    </w:p>
    <w:sectPr w:rsidR="00B073DA" w:rsidRPr="00B073DA" w:rsidSect="00874335">
      <w:headerReference w:type="even" r:id="rId28"/>
      <w:headerReference w:type="default" r:id="rId29"/>
      <w:footerReference w:type="even" r:id="rId30"/>
      <w:footerReference w:type="default" r:id="rId31"/>
      <w:headerReference w:type="first" r:id="rId32"/>
      <w:footerReference w:type="first" r:id="rId33"/>
      <w:pgSz w:w="11907" w:h="16840" w:code="9"/>
      <w:pgMar w:top="1701" w:right="851" w:bottom="1134" w:left="3119" w:header="851" w:footer="36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F1767" w14:textId="77777777" w:rsidR="003324A0" w:rsidRDefault="003324A0">
      <w:r>
        <w:separator/>
      </w:r>
    </w:p>
    <w:p w14:paraId="24F186AA" w14:textId="77777777" w:rsidR="003324A0" w:rsidRDefault="003324A0"/>
    <w:p w14:paraId="60C7DCBB" w14:textId="77777777" w:rsidR="003324A0" w:rsidRDefault="003324A0"/>
  </w:endnote>
  <w:endnote w:type="continuationSeparator" w:id="0">
    <w:p w14:paraId="3ADF40CC" w14:textId="77777777" w:rsidR="003324A0" w:rsidRDefault="003324A0">
      <w:r>
        <w:continuationSeparator/>
      </w:r>
    </w:p>
    <w:p w14:paraId="21C5A7E8" w14:textId="77777777" w:rsidR="003324A0" w:rsidRDefault="003324A0"/>
    <w:p w14:paraId="36C721EF" w14:textId="77777777" w:rsidR="003324A0" w:rsidRDefault="003324A0">
      <w:r>
        <w:t>Lige titel</w:t>
      </w:r>
    </w:p>
    <w:p w14:paraId="106D9F93" w14:textId="77777777" w:rsidR="003324A0" w:rsidRDefault="003324A0"/>
  </w:endnote>
  <w:endnote w:type="continuationNotice" w:id="1">
    <w:p w14:paraId="14D70729" w14:textId="77777777" w:rsidR="003324A0" w:rsidRDefault="003324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text" w:horzAnchor="page"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10716"/>
    </w:tblGrid>
    <w:tr w:rsidR="00D34050" w14:paraId="3CF98726" w14:textId="77777777">
      <w:trPr>
        <w:trHeight w:val="113"/>
      </w:trPr>
      <w:tc>
        <w:tcPr>
          <w:tcW w:w="851" w:type="dxa"/>
        </w:tcPr>
        <w:p w14:paraId="28BFA6E2" w14:textId="77777777" w:rsidR="00D34050" w:rsidRDefault="00D34050">
          <w:pPr>
            <w:pStyle w:val="FooterLeft"/>
            <w:rPr>
              <w:noProof/>
            </w:rPr>
          </w:pPr>
        </w:p>
      </w:tc>
      <w:tc>
        <w:tcPr>
          <w:tcW w:w="10716" w:type="dxa"/>
        </w:tcPr>
        <w:p w14:paraId="5B71EF63" w14:textId="77777777" w:rsidR="00D34050" w:rsidRDefault="00D34050">
          <w:pPr>
            <w:pStyle w:val="FooterLeft"/>
            <w:rPr>
              <w:noProof/>
            </w:rPr>
          </w:pPr>
          <w:r>
            <w:rPr>
              <w:noProof/>
            </w:rPr>
            <w:fldChar w:fldCharType="begin"/>
          </w:r>
          <w:r>
            <w:rPr>
              <w:noProof/>
            </w:rPr>
            <w:instrText xml:space="preserve"> FILENAME \p </w:instrText>
          </w:r>
          <w:r>
            <w:rPr>
              <w:noProof/>
            </w:rPr>
            <w:fldChar w:fldCharType="separate"/>
          </w:r>
          <w:r>
            <w:rPr>
              <w:noProof/>
            </w:rPr>
            <w:t>Document2</w:t>
          </w:r>
          <w:r>
            <w:rPr>
              <w:noProof/>
            </w:rPr>
            <w:fldChar w:fldCharType="end"/>
          </w:r>
        </w:p>
      </w:tc>
    </w:tr>
  </w:tbl>
  <w:p w14:paraId="4BC2A302" w14:textId="77777777" w:rsidR="00D34050" w:rsidRDefault="00D34050">
    <w:pPr>
      <w:pStyle w:val="FooterLef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text" w:horzAnchor="page" w:tblpXSpec="right" w:tblpY="1"/>
      <w:tblOverlap w:val="never"/>
      <w:tblW w:w="0" w:type="auto"/>
      <w:tblLayout w:type="fixed"/>
      <w:tblCellMar>
        <w:left w:w="0" w:type="dxa"/>
        <w:right w:w="0" w:type="dxa"/>
      </w:tblCellMar>
      <w:tblLook w:val="04A0" w:firstRow="1" w:lastRow="0" w:firstColumn="1" w:lastColumn="0" w:noHBand="0" w:noVBand="1"/>
    </w:tblPr>
    <w:tblGrid>
      <w:gridCol w:w="10206"/>
      <w:gridCol w:w="851"/>
    </w:tblGrid>
    <w:tr w:rsidR="00D34050" w14:paraId="29987E4A" w14:textId="77777777">
      <w:trPr>
        <w:cantSplit/>
        <w:trHeight w:val="113"/>
      </w:trPr>
      <w:tc>
        <w:tcPr>
          <w:tcW w:w="10206" w:type="dxa"/>
          <w:tcBorders>
            <w:top w:val="nil"/>
            <w:left w:val="nil"/>
            <w:bottom w:val="nil"/>
            <w:right w:val="nil"/>
          </w:tcBorders>
        </w:tcPr>
        <w:p w14:paraId="2C51E563" w14:textId="77777777" w:rsidR="00D34050" w:rsidRDefault="009A42BC">
          <w:pPr>
            <w:pStyle w:val="FooterRight"/>
          </w:pPr>
          <w:r>
            <w:fldChar w:fldCharType="begin"/>
          </w:r>
          <w:r>
            <w:instrText xml:space="preserve"> FILENAME \p </w:instrText>
          </w:r>
          <w:r>
            <w:fldChar w:fldCharType="separate"/>
          </w:r>
          <w:r w:rsidR="00D34050">
            <w:rPr>
              <w:noProof/>
            </w:rPr>
            <w:t>Document2</w:t>
          </w:r>
          <w:r>
            <w:rPr>
              <w:noProof/>
            </w:rPr>
            <w:fldChar w:fldCharType="end"/>
          </w:r>
        </w:p>
      </w:tc>
      <w:tc>
        <w:tcPr>
          <w:tcW w:w="851" w:type="dxa"/>
          <w:tcBorders>
            <w:top w:val="nil"/>
            <w:left w:val="nil"/>
            <w:bottom w:val="nil"/>
            <w:right w:val="nil"/>
          </w:tcBorders>
        </w:tcPr>
        <w:p w14:paraId="5CD9C647" w14:textId="77777777" w:rsidR="00D34050" w:rsidRDefault="00D34050">
          <w:pPr>
            <w:pStyle w:val="FooterRight"/>
          </w:pPr>
        </w:p>
      </w:tc>
    </w:tr>
  </w:tbl>
  <w:p w14:paraId="5A31B752" w14:textId="77777777" w:rsidR="00D34050" w:rsidRDefault="00D34050">
    <w:pPr>
      <w:pStyle w:val="Footer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EA149" w14:textId="77777777" w:rsidR="00D34050" w:rsidRDefault="00D34050">
    <w:pPr>
      <w:pStyle w:val="Footer"/>
    </w:pPr>
    <w:r>
      <w:fldChar w:fldCharType="begin"/>
    </w:r>
    <w:r>
      <w:instrText xml:space="preserve"> FILENAME \p </w:instrText>
    </w:r>
    <w:r>
      <w:fldChar w:fldCharType="separate"/>
    </w:r>
    <w: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13853" w14:textId="77777777" w:rsidR="003324A0" w:rsidRDefault="003324A0">
      <w:r>
        <w:separator/>
      </w:r>
    </w:p>
  </w:footnote>
  <w:footnote w:type="continuationSeparator" w:id="0">
    <w:p w14:paraId="4D5AACB6" w14:textId="77777777" w:rsidR="003324A0" w:rsidRDefault="003324A0">
      <w:r>
        <w:continuationSeparator/>
      </w:r>
    </w:p>
    <w:p w14:paraId="2AA095E3" w14:textId="77777777" w:rsidR="003324A0" w:rsidRDefault="003324A0"/>
    <w:p w14:paraId="6DA30226" w14:textId="77777777" w:rsidR="003324A0" w:rsidRDefault="003324A0"/>
  </w:footnote>
  <w:footnote w:type="continuationNotice" w:id="1">
    <w:p w14:paraId="20F14EF7" w14:textId="77777777" w:rsidR="003324A0" w:rsidRDefault="003324A0">
      <w:pPr>
        <w:spacing w:line="240" w:lineRule="auto"/>
      </w:pPr>
    </w:p>
  </w:footnote>
  <w:footnote w:id="2">
    <w:p w14:paraId="05F542F5" w14:textId="1C954ADD" w:rsidR="00534D57" w:rsidRDefault="00534D57">
      <w:pPr>
        <w:pStyle w:val="FootnoteText"/>
      </w:pPr>
      <w:r>
        <w:rPr>
          <w:rStyle w:val="FootnoteReference"/>
        </w:rPr>
        <w:footnoteRef/>
      </w:r>
      <w:r>
        <w:t xml:space="preserve"> Der </w:t>
      </w:r>
      <w:r w:rsidR="00693B93">
        <w:t xml:space="preserve">er til </w:t>
      </w:r>
      <w:r w:rsidR="00D917B4">
        <w:t xml:space="preserve">denne opdatering </w:t>
      </w:r>
      <w:r w:rsidR="009A333C">
        <w:t>fastlagt nye skrotningsrater</w:t>
      </w:r>
      <w:r w:rsidR="009E18E2">
        <w:t xml:space="preserve">, idet dette er vigtigt for at kunne lave den dynamiske beregning af </w:t>
      </w:r>
      <w:r w:rsidR="007A1425">
        <w:t>kørselsomkostninger i fremtidige år.</w:t>
      </w:r>
    </w:p>
  </w:footnote>
  <w:footnote w:id="3">
    <w:p w14:paraId="6DD71ECA" w14:textId="77777777" w:rsidR="00D34050" w:rsidRDefault="00D34050" w:rsidP="00286316">
      <w:pPr>
        <w:pStyle w:val="FootnoteText"/>
      </w:pPr>
      <w:r>
        <w:rPr>
          <w:rStyle w:val="FootnoteReference"/>
        </w:rPr>
        <w:footnoteRef/>
      </w:r>
      <w:r>
        <w:t xml:space="preserve"> </w:t>
      </w:r>
      <w:r w:rsidRPr="00357C97">
        <w:t xml:space="preserve">Transporters </w:t>
      </w:r>
      <w:proofErr w:type="spellStart"/>
      <w:r w:rsidRPr="00357C97">
        <w:t>EMissioner</w:t>
      </w:r>
      <w:proofErr w:type="spellEnd"/>
      <w:r w:rsidRPr="00357C97">
        <w:t xml:space="preserve"> u</w:t>
      </w:r>
      <w:r>
        <w:t>nder Alternative forudsætninger</w:t>
      </w:r>
    </w:p>
  </w:footnote>
  <w:footnote w:id="4">
    <w:p w14:paraId="70C5139B" w14:textId="77777777" w:rsidR="00D34050" w:rsidRDefault="00D34050" w:rsidP="00286316">
      <w:pPr>
        <w:pStyle w:val="FootnoteText"/>
      </w:pPr>
      <w:r>
        <w:rPr>
          <w:rStyle w:val="FootnoteReference"/>
        </w:rPr>
        <w:footnoteRef/>
      </w:r>
      <w:r>
        <w:t xml:space="preserve"> </w:t>
      </w:r>
      <w:proofErr w:type="spellStart"/>
      <w:r w:rsidRPr="00357C97">
        <w:t>COmputer</w:t>
      </w:r>
      <w:proofErr w:type="spellEnd"/>
      <w:r w:rsidRPr="00357C97">
        <w:t xml:space="preserve"> </w:t>
      </w:r>
      <w:proofErr w:type="spellStart"/>
      <w:r w:rsidRPr="00357C97">
        <w:t>Programme</w:t>
      </w:r>
      <w:proofErr w:type="spellEnd"/>
      <w:r w:rsidRPr="00357C97">
        <w:t xml:space="preserve"> to </w:t>
      </w:r>
      <w:proofErr w:type="spellStart"/>
      <w:r w:rsidRPr="00357C97">
        <w:t>calculate</w:t>
      </w:r>
      <w:proofErr w:type="spellEnd"/>
      <w:r w:rsidRPr="00357C97">
        <w:t xml:space="preserve"> Emissions from Road Transport</w:t>
      </w:r>
    </w:p>
  </w:footnote>
  <w:footnote w:id="5">
    <w:p w14:paraId="538E149F" w14:textId="77777777" w:rsidR="00D34050" w:rsidRDefault="00D34050" w:rsidP="00286316">
      <w:pPr>
        <w:pStyle w:val="FootnoteText"/>
      </w:pPr>
      <w:r>
        <w:rPr>
          <w:rStyle w:val="FootnoteReference"/>
        </w:rPr>
        <w:footnoteRef/>
      </w:r>
      <w:r>
        <w:t xml:space="preserve"> I opdeling konsistent med </w:t>
      </w:r>
      <w:r w:rsidRPr="005E2102">
        <w:t>Landstrafikmodellen</w:t>
      </w:r>
    </w:p>
  </w:footnote>
  <w:footnote w:id="6">
    <w:p w14:paraId="0FB9B4D7" w14:textId="77777777" w:rsidR="00D34050" w:rsidRDefault="00D34050" w:rsidP="00B2052C">
      <w:pPr>
        <w:pStyle w:val="FootnoteText"/>
      </w:pPr>
      <w:r>
        <w:rPr>
          <w:rStyle w:val="FootnoteReference"/>
        </w:rPr>
        <w:footnoteRef/>
      </w:r>
      <w:r>
        <w:t xml:space="preserve"> I opdeling konsistent med </w:t>
      </w:r>
      <w:r w:rsidRPr="005E2102">
        <w:t>Landstrafikmodellen</w:t>
      </w:r>
    </w:p>
  </w:footnote>
  <w:footnote w:id="7">
    <w:p w14:paraId="5C0182CD" w14:textId="77777777" w:rsidR="00D34050" w:rsidRDefault="00D34050" w:rsidP="00EC7899">
      <w:pPr>
        <w:pStyle w:val="FootnoteText"/>
      </w:pPr>
      <w:r>
        <w:rPr>
          <w:rStyle w:val="FootnoteReference"/>
        </w:rPr>
        <w:footnoteRef/>
      </w:r>
      <w:r>
        <w:t xml:space="preserve"> For personbiler værdisættes rejsetiden således særskilt med egentlige tidsværdier.</w:t>
      </w:r>
    </w:p>
  </w:footnote>
  <w:footnote w:id="8">
    <w:p w14:paraId="4103CAAA" w14:textId="77777777" w:rsidR="00D34050" w:rsidRDefault="00D34050" w:rsidP="00EC7899">
      <w:pPr>
        <w:pStyle w:val="FootnoteText"/>
      </w:pPr>
      <w:r>
        <w:rPr>
          <w:rStyle w:val="FootnoteReference"/>
        </w:rPr>
        <w:footnoteRef/>
      </w:r>
      <w:r>
        <w:t xml:space="preserve"> Generelt anbefales det dog at anvende de gennemsnitlige kørselsomkostninger som enhedspris i samfundsøkonomiske analyser af infrastrukturprojekter</w:t>
      </w:r>
    </w:p>
  </w:footnote>
  <w:footnote w:id="9">
    <w:p w14:paraId="4982AD94" w14:textId="77777777" w:rsidR="00D34050" w:rsidRDefault="00D34050" w:rsidP="00EC7899">
      <w:pPr>
        <w:pStyle w:val="FootnoteText"/>
      </w:pPr>
      <w:r>
        <w:rPr>
          <w:rStyle w:val="FootnoteReference"/>
        </w:rPr>
        <w:footnoteRef/>
      </w:r>
      <w:r>
        <w:t xml:space="preserve"> Da antal kilometer indgår i både tæller og nævner i dette regnestykke, svarer den således beregnede marginale andel til den andel af biler, som kører mere end det årlige service interval.</w:t>
      </w:r>
    </w:p>
  </w:footnote>
  <w:footnote w:id="10">
    <w:p w14:paraId="3549EE18" w14:textId="77777777" w:rsidR="00D34050" w:rsidRDefault="00D34050" w:rsidP="00EC7899">
      <w:pPr>
        <w:pStyle w:val="FootnoteText"/>
      </w:pPr>
      <w:r>
        <w:rPr>
          <w:rStyle w:val="FootnoteReference"/>
        </w:rPr>
        <w:footnoteRef/>
      </w:r>
      <w:r>
        <w:t xml:space="preserve"> </w:t>
      </w:r>
      <w:r w:rsidRPr="00C31D57">
        <w:t xml:space="preserve">Se eventuelt notatet ”Nettoafgiftsfaktoren”, Notat 14/2015, Af Mogens Fosgerau og Ninette Pilegaard, DTU Transport, </w:t>
      </w:r>
      <w:proofErr w:type="gramStart"/>
      <w:r w:rsidRPr="00C31D57">
        <w:t>Juni</w:t>
      </w:r>
      <w:proofErr w:type="gramEnd"/>
      <w:r w:rsidRPr="00C31D57">
        <w:t xml:space="preserve"> 2015</w:t>
      </w:r>
    </w:p>
  </w:footnote>
  <w:footnote w:id="11">
    <w:p w14:paraId="703FD4B3" w14:textId="24229C5E" w:rsidR="00D34050" w:rsidRDefault="00D34050" w:rsidP="00EC7899">
      <w:pPr>
        <w:pStyle w:val="FootnoteText"/>
      </w:pPr>
      <w:r>
        <w:rPr>
          <w:rStyle w:val="FootnoteReference"/>
        </w:rPr>
        <w:footnoteRef/>
      </w:r>
      <w:r>
        <w:t xml:space="preserve"> Vejbenyttelsesafgift og/eller</w:t>
      </w:r>
      <w:r w:rsidR="0084008F">
        <w:t xml:space="preserve"> </w:t>
      </w:r>
      <w:r>
        <w:t>udligningsafgift samt vægtafgift hvor relevant.</w:t>
      </w:r>
    </w:p>
  </w:footnote>
  <w:footnote w:id="12">
    <w:p w14:paraId="5BCFC9E4" w14:textId="77777777" w:rsidR="00D34050" w:rsidRDefault="00D34050" w:rsidP="00EC7899">
      <w:pPr>
        <w:pStyle w:val="FootnoteText"/>
      </w:pPr>
      <w:r>
        <w:rPr>
          <w:rStyle w:val="FootnoteReference"/>
        </w:rPr>
        <w:footnoteRef/>
      </w:r>
      <w:r>
        <w:t xml:space="preserve"> </w:t>
      </w:r>
      <w:r w:rsidRPr="001E4874">
        <w:t>Grunden til at vejafgifter indgår som en fast omkostning er at den opkræves som en årlig vejafgift, der er uafhængig af årskørsel.</w:t>
      </w:r>
    </w:p>
  </w:footnote>
  <w:footnote w:id="13">
    <w:p w14:paraId="4D811B33" w14:textId="77777777" w:rsidR="00D34050" w:rsidRDefault="00D34050" w:rsidP="00EC7899">
      <w:pPr>
        <w:pStyle w:val="FootnoteText"/>
      </w:pPr>
      <w:r>
        <w:rPr>
          <w:rStyle w:val="FootnoteReference"/>
        </w:rPr>
        <w:footnoteRef/>
      </w:r>
      <w:r>
        <w:t xml:space="preserve"> </w:t>
      </w:r>
      <w:r w:rsidRPr="00C31D57">
        <w:t xml:space="preserve">Se eventuelt notatet ”Nettoafgiftsfaktoren”, Notat 14/2015, Af Mogens Fosgerau og Ninette Pilegaard, DTU Transport, </w:t>
      </w:r>
      <w:proofErr w:type="gramStart"/>
      <w:r w:rsidRPr="00C31D57">
        <w:t>Juni</w:t>
      </w:r>
      <w:proofErr w:type="gramEnd"/>
      <w:r w:rsidRPr="00C31D57">
        <w:t xml:space="preserve"> 2015</w:t>
      </w:r>
    </w:p>
  </w:footnote>
  <w:footnote w:id="14">
    <w:p w14:paraId="02EAFD59" w14:textId="7D6C8461" w:rsidR="00D34050" w:rsidRDefault="00D34050">
      <w:pPr>
        <w:pStyle w:val="FootnoteText"/>
      </w:pPr>
      <w:r>
        <w:rPr>
          <w:rStyle w:val="FootnoteReference"/>
        </w:rPr>
        <w:footnoteRef/>
      </w:r>
      <w:r>
        <w:t xml:space="preserve"> Det er som nævnt antaget, at de samme afskrivninger og priser der tidligere er indhentet er uændrede for lastbilerne.</w:t>
      </w:r>
    </w:p>
  </w:footnote>
  <w:footnote w:id="15">
    <w:p w14:paraId="79448D09" w14:textId="3526AD62" w:rsidR="00D34050" w:rsidRDefault="00D34050" w:rsidP="00D14571">
      <w:pPr>
        <w:pStyle w:val="FootnoteText"/>
      </w:pPr>
      <w:r w:rsidRPr="00085AEC">
        <w:rPr>
          <w:rStyle w:val="FootnoteReference"/>
        </w:rPr>
        <w:footnoteRef/>
      </w:r>
      <w:r w:rsidRPr="00085AEC">
        <w:t xml:space="preserve"> For henholdsvis benzin og diesel personbiler og varebiler blev der således på basis af data for et udsnit af biler – for hver af disse fire grupper - estimeret en statistisk tilsyneladende velbeskrivende funktionsform, der viste sammenhængen mellem de gennemsnitlige omkostninger - inklusive moms m.v. - til service, reparation og vedligeholdelse som funktion af bilens nypris - inklusiv moms og registreringsafgift, bilens levetid (antal brugs-år) samt bilens årskørsel. Ved hjælp af denne funktion er de gennemsnitlige årlige omkostninger til service, reparation og vedligeholdelse for personbiler og varebiler således tidligere blevet estimeret på basis af den estimerede gennemsnitlige årskørsel og levetid for bilerne.</w:t>
      </w:r>
    </w:p>
  </w:footnote>
  <w:footnote w:id="16">
    <w:p w14:paraId="55E37CF7" w14:textId="14DB81D6" w:rsidR="00D34050" w:rsidRDefault="00D34050" w:rsidP="00D14571">
      <w:pPr>
        <w:pStyle w:val="FootnoteText"/>
      </w:pPr>
      <w:r>
        <w:rPr>
          <w:rStyle w:val="FootnoteReference"/>
        </w:rPr>
        <w:footnoteRef/>
      </w:r>
      <w:r>
        <w:t xml:space="preserve"> Udarbejdet af Teknologisk Institut, 2013.</w:t>
      </w:r>
    </w:p>
  </w:footnote>
  <w:footnote w:id="17">
    <w:p w14:paraId="133E02C0" w14:textId="49B6A6F9" w:rsidR="00D34050" w:rsidRDefault="00D34050" w:rsidP="00D14571">
      <w:pPr>
        <w:pStyle w:val="FootnoteText"/>
      </w:pPr>
      <w:r>
        <w:rPr>
          <w:rStyle w:val="FootnoteReference"/>
        </w:rPr>
        <w:footnoteRef/>
      </w:r>
      <w:r>
        <w:t xml:space="preserve"> jf. Kapitel 7 (</w:t>
      </w:r>
      <w:r w:rsidRPr="00AB3580">
        <w:t>Appendiks: Modelapparat</w:t>
      </w:r>
      <w:r>
        <w:t>) i</w:t>
      </w:r>
      <w:r w:rsidRPr="00AB3580">
        <w:t xml:space="preserve"> </w:t>
      </w:r>
      <w:r>
        <w:t>"DELRAPPORT 1 - Veje til en grøn bilbeskatning",</w:t>
      </w:r>
      <w:r w:rsidRPr="00F95F5A">
        <w:t xml:space="preserve"> Kommissionen for grøn omstilling af personbiler</w:t>
      </w:r>
      <w:r>
        <w:t xml:space="preserve">, </w:t>
      </w:r>
      <w:r w:rsidRPr="001E7CB6">
        <w:t>september 2020</w:t>
      </w:r>
    </w:p>
  </w:footnote>
  <w:footnote w:id="18">
    <w:p w14:paraId="03B51C63" w14:textId="77777777" w:rsidR="00D34050" w:rsidRDefault="00D34050" w:rsidP="00F563C2">
      <w:pPr>
        <w:pStyle w:val="FootnoteText"/>
      </w:pPr>
      <w:r>
        <w:rPr>
          <w:rStyle w:val="FootnoteReference"/>
        </w:rPr>
        <w:footnoteRef/>
      </w:r>
      <w:r>
        <w:t xml:space="preserve"> Statistikbankens tabel </w:t>
      </w:r>
      <w:r w:rsidRPr="00761A52">
        <w:t>LONS20: Løn efter arbejdsfunktion, sektor, aflønningsform, lønmodtagergruppe, lønkomponenter og køn</w:t>
      </w:r>
    </w:p>
  </w:footnote>
  <w:footnote w:id="19">
    <w:p w14:paraId="4DC37BB1" w14:textId="2AC03EC7" w:rsidR="00176112" w:rsidRDefault="00176112">
      <w:pPr>
        <w:pStyle w:val="FootnoteText"/>
      </w:pPr>
      <w:r>
        <w:rPr>
          <w:rStyle w:val="FootnoteReference"/>
        </w:rPr>
        <w:footnoteRef/>
      </w:r>
      <w:r>
        <w:t xml:space="preserve"> Det standardberegnede lønindeks i Statistikbanken (SBLON1).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text" w:horzAnchor="page"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851"/>
      <w:gridCol w:w="340"/>
      <w:gridCol w:w="170"/>
      <w:gridCol w:w="10206"/>
    </w:tblGrid>
    <w:tr w:rsidR="00D34050" w14:paraId="6856DF57" w14:textId="77777777">
      <w:trPr>
        <w:trHeight w:val="113"/>
      </w:trPr>
      <w:tc>
        <w:tcPr>
          <w:tcW w:w="851" w:type="dxa"/>
        </w:tcPr>
        <w:p w14:paraId="4F107A6F" w14:textId="77777777" w:rsidR="00D34050" w:rsidRDefault="00D34050">
          <w:pPr>
            <w:pStyle w:val="HeaderLeft"/>
          </w:pPr>
        </w:p>
      </w:tc>
      <w:tc>
        <w:tcPr>
          <w:tcW w:w="340" w:type="dxa"/>
        </w:tcPr>
        <w:p w14:paraId="4635C133" w14:textId="77777777" w:rsidR="00D34050" w:rsidRDefault="00D34050">
          <w:pPr>
            <w:pStyle w:val="HeaderLeft"/>
          </w:pPr>
        </w:p>
      </w:tc>
      <w:tc>
        <w:tcPr>
          <w:tcW w:w="170" w:type="dxa"/>
        </w:tcPr>
        <w:p w14:paraId="1741A94E" w14:textId="77777777" w:rsidR="00D34050" w:rsidRDefault="00D34050">
          <w:pPr>
            <w:pStyle w:val="HeaderLeft"/>
          </w:pPr>
        </w:p>
      </w:tc>
      <w:tc>
        <w:tcPr>
          <w:tcW w:w="10206" w:type="dxa"/>
        </w:tcPr>
        <w:p w14:paraId="4D08DEC4" w14:textId="77777777" w:rsidR="00D34050" w:rsidRDefault="00D34050">
          <w:pPr>
            <w:pStyle w:val="HeaderLeft"/>
          </w:pPr>
          <w:r>
            <w:rPr>
              <w:noProof/>
            </w:rPr>
            <w:drawing>
              <wp:inline distT="0" distB="0" distL="0" distR="0" wp14:anchorId="3F64DE58" wp14:editId="1BB2BECC">
                <wp:extent cx="237600" cy="7200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iOrange.emf"/>
                        <pic:cNvPicPr/>
                      </pic:nvPicPr>
                      <pic:blipFill>
                        <a:blip r:embed="rId1">
                          <a:extLst>
                            <a:ext uri="{28A0092B-C50C-407E-A947-70E740481C1C}">
                              <a14:useLocalDpi xmlns:a14="http://schemas.microsoft.com/office/drawing/2010/main" val="0"/>
                            </a:ext>
                          </a:extLst>
                        </a:blip>
                        <a:stretch>
                          <a:fillRect/>
                        </a:stretch>
                      </pic:blipFill>
                      <pic:spPr>
                        <a:xfrm>
                          <a:off x="0" y="0"/>
                          <a:ext cx="237600" cy="72000"/>
                        </a:xfrm>
                        <a:prstGeom prst="rect">
                          <a:avLst/>
                        </a:prstGeom>
                      </pic:spPr>
                    </pic:pic>
                  </a:graphicData>
                </a:graphic>
              </wp:inline>
            </w:drawing>
          </w:r>
          <w:r>
            <w:t xml:space="preserve"> </w:t>
          </w:r>
        </w:p>
      </w:tc>
    </w:tr>
    <w:tr w:rsidR="00D34050" w14:paraId="47A791D0" w14:textId="77777777">
      <w:trPr>
        <w:trHeight w:val="113"/>
      </w:trPr>
      <w:tc>
        <w:tcPr>
          <w:tcW w:w="851" w:type="dxa"/>
        </w:tcPr>
        <w:p w14:paraId="67C2FA26" w14:textId="77777777" w:rsidR="00D34050" w:rsidRDefault="00D34050">
          <w:pPr>
            <w:pStyle w:val="HeaderLeft"/>
          </w:pPr>
        </w:p>
      </w:tc>
      <w:tc>
        <w:tcPr>
          <w:tcW w:w="340" w:type="dxa"/>
        </w:tcPr>
        <w:p w14:paraId="3E037313" w14:textId="77777777" w:rsidR="00D34050" w:rsidRDefault="00D34050">
          <w:pPr>
            <w:pStyle w:val="HeaderLeft"/>
          </w:pPr>
          <w:r>
            <w:fldChar w:fldCharType="begin"/>
          </w:r>
          <w:r>
            <w:instrText xml:space="preserve"> PAGE </w:instrText>
          </w:r>
          <w:r>
            <w:fldChar w:fldCharType="separate"/>
          </w:r>
          <w:r>
            <w:rPr>
              <w:noProof/>
            </w:rPr>
            <w:t>2</w:t>
          </w:r>
          <w:r>
            <w:fldChar w:fldCharType="end"/>
          </w:r>
        </w:p>
      </w:tc>
      <w:tc>
        <w:tcPr>
          <w:tcW w:w="170" w:type="dxa"/>
        </w:tcPr>
        <w:p w14:paraId="25626FA1" w14:textId="77777777" w:rsidR="00D34050" w:rsidRDefault="00D34050">
          <w:pPr>
            <w:pStyle w:val="HeaderLeft"/>
          </w:pPr>
        </w:p>
      </w:tc>
      <w:tc>
        <w:tcPr>
          <w:tcW w:w="10206" w:type="dxa"/>
        </w:tcPr>
        <w:p w14:paraId="4C613127" w14:textId="77777777" w:rsidR="00D34050" w:rsidRDefault="00D34050">
          <w:pPr>
            <w:pStyle w:val="HeaderLeft"/>
          </w:pPr>
          <w:r>
            <w:t>Transportøkonomiske Kørselsomkostninger</w:t>
          </w:r>
        </w:p>
      </w:tc>
    </w:tr>
  </w:tbl>
  <w:p w14:paraId="0291C0F1" w14:textId="77777777" w:rsidR="00D34050" w:rsidRDefault="00D34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text" w:horzAnchor="page"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0206"/>
      <w:gridCol w:w="170"/>
      <w:gridCol w:w="340"/>
      <w:gridCol w:w="851"/>
    </w:tblGrid>
    <w:tr w:rsidR="00D34050" w14:paraId="4AC1F085" w14:textId="77777777">
      <w:trPr>
        <w:cantSplit/>
        <w:trHeight w:val="113"/>
      </w:trPr>
      <w:tc>
        <w:tcPr>
          <w:tcW w:w="10206" w:type="dxa"/>
        </w:tcPr>
        <w:p w14:paraId="1A24E98A" w14:textId="77777777" w:rsidR="00D34050" w:rsidRDefault="00D34050">
          <w:pPr>
            <w:pStyle w:val="HeaderRight"/>
          </w:pPr>
          <w:r>
            <w:t xml:space="preserve"> </w:t>
          </w:r>
          <w:r>
            <w:rPr>
              <w:noProof/>
            </w:rPr>
            <w:drawing>
              <wp:inline distT="0" distB="0" distL="0" distR="0" wp14:anchorId="334E5002" wp14:editId="5E602388">
                <wp:extent cx="237600" cy="72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iOrange.emf"/>
                        <pic:cNvPicPr/>
                      </pic:nvPicPr>
                      <pic:blipFill>
                        <a:blip r:embed="rId1">
                          <a:extLst>
                            <a:ext uri="{28A0092B-C50C-407E-A947-70E740481C1C}">
                              <a14:useLocalDpi xmlns:a14="http://schemas.microsoft.com/office/drawing/2010/main" val="0"/>
                            </a:ext>
                          </a:extLst>
                        </a:blip>
                        <a:stretch>
                          <a:fillRect/>
                        </a:stretch>
                      </pic:blipFill>
                      <pic:spPr>
                        <a:xfrm>
                          <a:off x="0" y="0"/>
                          <a:ext cx="237600" cy="72000"/>
                        </a:xfrm>
                        <a:prstGeom prst="rect">
                          <a:avLst/>
                        </a:prstGeom>
                      </pic:spPr>
                    </pic:pic>
                  </a:graphicData>
                </a:graphic>
              </wp:inline>
            </w:drawing>
          </w:r>
        </w:p>
      </w:tc>
      <w:tc>
        <w:tcPr>
          <w:tcW w:w="170" w:type="dxa"/>
        </w:tcPr>
        <w:p w14:paraId="15200DF4" w14:textId="77777777" w:rsidR="00D34050" w:rsidRDefault="00D34050">
          <w:pPr>
            <w:pStyle w:val="HeaderRight"/>
          </w:pPr>
        </w:p>
      </w:tc>
      <w:tc>
        <w:tcPr>
          <w:tcW w:w="340" w:type="dxa"/>
        </w:tcPr>
        <w:p w14:paraId="09C413AC" w14:textId="77777777" w:rsidR="00D34050" w:rsidRDefault="00D34050">
          <w:pPr>
            <w:pStyle w:val="HeaderRight"/>
          </w:pPr>
        </w:p>
      </w:tc>
      <w:tc>
        <w:tcPr>
          <w:tcW w:w="851" w:type="dxa"/>
        </w:tcPr>
        <w:p w14:paraId="423372A5" w14:textId="77777777" w:rsidR="00D34050" w:rsidRDefault="00D34050">
          <w:pPr>
            <w:pStyle w:val="HeaderRight"/>
          </w:pPr>
        </w:p>
      </w:tc>
    </w:tr>
    <w:tr w:rsidR="00D34050" w14:paraId="408E84B9" w14:textId="77777777">
      <w:trPr>
        <w:cantSplit/>
        <w:trHeight w:val="113"/>
      </w:trPr>
      <w:tc>
        <w:tcPr>
          <w:tcW w:w="10206" w:type="dxa"/>
        </w:tcPr>
        <w:p w14:paraId="0D34EA39" w14:textId="77777777" w:rsidR="00D34050" w:rsidRDefault="00D34050">
          <w:pPr>
            <w:pStyle w:val="HeaderRight"/>
          </w:pPr>
          <w:r>
            <w:t>Transportøkonomiske Kørselsomkostninger</w:t>
          </w:r>
        </w:p>
      </w:tc>
      <w:tc>
        <w:tcPr>
          <w:tcW w:w="170" w:type="dxa"/>
        </w:tcPr>
        <w:p w14:paraId="420A4042" w14:textId="77777777" w:rsidR="00D34050" w:rsidRDefault="00D34050">
          <w:pPr>
            <w:pStyle w:val="HeaderRight"/>
          </w:pPr>
        </w:p>
      </w:tc>
      <w:tc>
        <w:tcPr>
          <w:tcW w:w="340" w:type="dxa"/>
        </w:tcPr>
        <w:p w14:paraId="1E4FFC9E" w14:textId="77777777" w:rsidR="00D34050" w:rsidRDefault="00D34050">
          <w:pPr>
            <w:pStyle w:val="HeaderRight"/>
          </w:pPr>
          <w:r>
            <w:fldChar w:fldCharType="begin"/>
          </w:r>
          <w:r>
            <w:instrText xml:space="preserve"> Page </w:instrText>
          </w:r>
          <w:r>
            <w:fldChar w:fldCharType="separate"/>
          </w:r>
          <w:r>
            <w:rPr>
              <w:noProof/>
            </w:rPr>
            <w:t>3</w:t>
          </w:r>
          <w:r>
            <w:fldChar w:fldCharType="end"/>
          </w:r>
        </w:p>
      </w:tc>
      <w:tc>
        <w:tcPr>
          <w:tcW w:w="851" w:type="dxa"/>
        </w:tcPr>
        <w:p w14:paraId="7D9B0EAA" w14:textId="77777777" w:rsidR="00D34050" w:rsidRDefault="00D34050">
          <w:pPr>
            <w:pStyle w:val="HeaderRight"/>
          </w:pPr>
        </w:p>
      </w:tc>
    </w:tr>
  </w:tbl>
  <w:p w14:paraId="36867584" w14:textId="77777777" w:rsidR="00D34050" w:rsidRDefault="00D340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DE841" w14:textId="77777777" w:rsidR="00D34050" w:rsidRDefault="00D34050">
    <w:pPr>
      <w:pStyle w:val="HeaderCowiLogo"/>
      <w:framePr w:wrap="around"/>
    </w:pPr>
    <w:r>
      <w:drawing>
        <wp:inline distT="0" distB="0" distL="0" distR="0" wp14:anchorId="29400B33" wp14:editId="18FA617F">
          <wp:extent cx="1360831" cy="410040"/>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iGre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0831" cy="410040"/>
                  </a:xfrm>
                  <a:prstGeom prst="rect">
                    <a:avLst/>
                  </a:prstGeom>
                </pic:spPr>
              </pic:pic>
            </a:graphicData>
          </a:graphic>
        </wp:inline>
      </w:drawing>
    </w:r>
    <w:r>
      <w:t xml:space="preserve"> </w:t>
    </w:r>
  </w:p>
  <w:p w14:paraId="50C3D6D6" w14:textId="77777777" w:rsidR="00D34050" w:rsidRDefault="00D34050">
    <w:pPr>
      <w:pStyle w:val="HeaderCowiAddress"/>
      <w:framePr w:wrap="around"/>
    </w:pPr>
    <w:r w:rsidRPr="00874335">
      <w:rPr>
        <w:rStyle w:val="CowiLabel"/>
      </w:rPr>
      <w:tab/>
      <w:t>Adresse</w:t>
    </w:r>
    <w:r w:rsidRPr="00874335">
      <w:tab/>
      <w:t>COWI A/S</w:t>
    </w:r>
    <w:r>
      <w:br/>
      <w:t>Parallelvej 2</w:t>
    </w:r>
    <w:r>
      <w:br/>
      <w:t>2800 Kongens Lyngby</w:t>
    </w:r>
  </w:p>
  <w:p w14:paraId="0415A5B0" w14:textId="77777777" w:rsidR="00D34050" w:rsidRDefault="00D34050">
    <w:pPr>
      <w:pStyle w:val="HeaderCowiAddress"/>
      <w:framePr w:wrap="around"/>
    </w:pPr>
  </w:p>
  <w:p w14:paraId="4D821186" w14:textId="77777777" w:rsidR="00D34050" w:rsidRDefault="00D34050">
    <w:pPr>
      <w:pStyle w:val="HeaderCowiAddress"/>
      <w:framePr w:wrap="around"/>
    </w:pPr>
    <w:r w:rsidRPr="00874335">
      <w:rPr>
        <w:rStyle w:val="CowiLabel"/>
      </w:rPr>
      <w:tab/>
      <w:t>Tlf</w:t>
    </w:r>
    <w:r w:rsidRPr="00874335">
      <w:tab/>
      <w:t>+45 56 40 00 00</w:t>
    </w:r>
  </w:p>
  <w:p w14:paraId="11E7318D" w14:textId="77777777" w:rsidR="00D34050" w:rsidRDefault="00D34050">
    <w:pPr>
      <w:pStyle w:val="HeaderCowiAddress"/>
      <w:framePr w:wrap="around"/>
    </w:pPr>
    <w:r w:rsidRPr="00874335">
      <w:rPr>
        <w:rStyle w:val="CowiLabel"/>
      </w:rPr>
      <w:tab/>
      <w:t>Fax</w:t>
    </w:r>
    <w:r w:rsidRPr="00874335">
      <w:tab/>
      <w:t>+45 56 40 99 99</w:t>
    </w:r>
  </w:p>
  <w:p w14:paraId="6D64A8F7" w14:textId="77777777" w:rsidR="00D34050" w:rsidRDefault="00D34050">
    <w:pPr>
      <w:pStyle w:val="HeaderCowiAddress"/>
      <w:framePr w:wrap="around"/>
    </w:pPr>
    <w:r w:rsidRPr="00874335">
      <w:rPr>
        <w:rStyle w:val="CowiLabel"/>
      </w:rPr>
      <w:tab/>
      <w:t>www</w:t>
    </w:r>
    <w:r w:rsidRPr="00874335">
      <w:tab/>
      <w:t>cowi.dk</w:t>
    </w:r>
  </w:p>
  <w:tbl>
    <w:tblPr>
      <w:tblStyle w:val="TableGrid"/>
      <w:tblpPr w:leftFromText="142" w:rightFromText="142" w:horzAnchor="page" w:tblpX="1419"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bottom w:w="85" w:type="dxa"/>
        <w:right w:w="85" w:type="dxa"/>
      </w:tblCellMar>
      <w:tblLook w:val="04A0" w:firstRow="1" w:lastRow="0" w:firstColumn="1" w:lastColumn="0" w:noHBand="0" w:noVBand="1"/>
    </w:tblPr>
    <w:tblGrid>
      <w:gridCol w:w="1418"/>
      <w:gridCol w:w="1418"/>
      <w:gridCol w:w="2268"/>
      <w:gridCol w:w="1418"/>
      <w:gridCol w:w="1418"/>
      <w:gridCol w:w="1418"/>
      <w:gridCol w:w="340"/>
    </w:tblGrid>
    <w:tr w:rsidR="00D34050" w14:paraId="08F8FBB8" w14:textId="77777777" w:rsidTr="00B64EB3">
      <w:tc>
        <w:tcPr>
          <w:tcW w:w="1418" w:type="dxa"/>
        </w:tcPr>
        <w:p w14:paraId="49B2F528" w14:textId="77777777" w:rsidR="00D34050" w:rsidRDefault="00D34050">
          <w:pPr>
            <w:pStyle w:val="RevisionLog"/>
            <w:rPr>
              <w:rStyle w:val="CowiLabel"/>
            </w:rPr>
          </w:pPr>
          <w:r>
            <w:rPr>
              <w:rStyle w:val="CowiLabel"/>
            </w:rPr>
            <w:t>Projektnr.</w:t>
          </w:r>
        </w:p>
      </w:tc>
      <w:tc>
        <w:tcPr>
          <w:tcW w:w="1418" w:type="dxa"/>
        </w:tcPr>
        <w:p w14:paraId="7173C8E2" w14:textId="77777777" w:rsidR="00D34050" w:rsidRDefault="00D34050">
          <w:pPr>
            <w:pStyle w:val="RevisionLog"/>
            <w:rPr>
              <w:rStyle w:val="CowiLabel"/>
            </w:rPr>
          </w:pPr>
          <w:r>
            <w:rPr>
              <w:rStyle w:val="CowiLabel"/>
            </w:rPr>
            <w:t>Dokumentnr.</w:t>
          </w:r>
        </w:p>
      </w:tc>
      <w:tc>
        <w:tcPr>
          <w:tcW w:w="2268" w:type="dxa"/>
        </w:tcPr>
        <w:p w14:paraId="01EE7FA4" w14:textId="77777777" w:rsidR="00D34050" w:rsidRDefault="00D34050">
          <w:pPr>
            <w:pStyle w:val="RevisionLog"/>
            <w:rPr>
              <w:rStyle w:val="CowiLabel"/>
            </w:rPr>
          </w:pPr>
        </w:p>
      </w:tc>
      <w:tc>
        <w:tcPr>
          <w:tcW w:w="1418" w:type="dxa"/>
        </w:tcPr>
        <w:p w14:paraId="35A35BAB" w14:textId="77777777" w:rsidR="00D34050" w:rsidRDefault="00D34050">
          <w:pPr>
            <w:pStyle w:val="RevisionLog"/>
            <w:rPr>
              <w:rStyle w:val="CowiLabel"/>
            </w:rPr>
          </w:pPr>
        </w:p>
      </w:tc>
      <w:tc>
        <w:tcPr>
          <w:tcW w:w="1418" w:type="dxa"/>
        </w:tcPr>
        <w:p w14:paraId="57008597" w14:textId="77777777" w:rsidR="00D34050" w:rsidRDefault="00D34050">
          <w:pPr>
            <w:pStyle w:val="RevisionLog"/>
            <w:rPr>
              <w:rStyle w:val="CowiLabel"/>
            </w:rPr>
          </w:pPr>
        </w:p>
      </w:tc>
      <w:tc>
        <w:tcPr>
          <w:tcW w:w="1418" w:type="dxa"/>
        </w:tcPr>
        <w:p w14:paraId="4A11D3DD" w14:textId="77777777" w:rsidR="00D34050" w:rsidRDefault="00D34050">
          <w:pPr>
            <w:pStyle w:val="RevisionLog"/>
            <w:rPr>
              <w:rStyle w:val="CowiLabel"/>
            </w:rPr>
          </w:pPr>
        </w:p>
      </w:tc>
      <w:tc>
        <w:tcPr>
          <w:tcW w:w="340" w:type="dxa"/>
        </w:tcPr>
        <w:p w14:paraId="28F98F3E" w14:textId="77777777" w:rsidR="00D34050" w:rsidRDefault="00D34050">
          <w:pPr>
            <w:pStyle w:val="RevisionLog"/>
            <w:rPr>
              <w:rStyle w:val="CowiLabel"/>
            </w:rPr>
          </w:pPr>
        </w:p>
      </w:tc>
    </w:tr>
    <w:tr w:rsidR="00D34050" w14:paraId="70605D76" w14:textId="77777777" w:rsidTr="00B64EB3">
      <w:tc>
        <w:tcPr>
          <w:tcW w:w="1418" w:type="dxa"/>
        </w:tcPr>
        <w:p w14:paraId="52DD6C2D" w14:textId="77777777" w:rsidR="00D34050" w:rsidRDefault="00D34050">
          <w:pPr>
            <w:pStyle w:val="RevisionLog"/>
            <w:rPr>
              <w:lang w:val="en-GB"/>
            </w:rPr>
          </w:pPr>
          <w:r>
            <w:t>A232427</w:t>
          </w:r>
        </w:p>
      </w:tc>
      <w:tc>
        <w:tcPr>
          <w:tcW w:w="7940" w:type="dxa"/>
          <w:gridSpan w:val="5"/>
        </w:tcPr>
        <w:p w14:paraId="138BEC3E" w14:textId="77777777" w:rsidR="00D34050" w:rsidRDefault="00D34050">
          <w:pPr>
            <w:pStyle w:val="RevisionLog"/>
            <w:rPr>
              <w:lang w:val="en-GB"/>
            </w:rPr>
          </w:pPr>
        </w:p>
      </w:tc>
      <w:tc>
        <w:tcPr>
          <w:tcW w:w="340" w:type="dxa"/>
        </w:tcPr>
        <w:p w14:paraId="79F2BD98" w14:textId="77777777" w:rsidR="00D34050" w:rsidRDefault="00D34050">
          <w:pPr>
            <w:pStyle w:val="RevisionLog"/>
          </w:pPr>
        </w:p>
      </w:tc>
    </w:tr>
    <w:tr w:rsidR="00D34050" w14:paraId="207D97A6" w14:textId="77777777" w:rsidTr="00B64EB3">
      <w:tc>
        <w:tcPr>
          <w:tcW w:w="1418" w:type="dxa"/>
        </w:tcPr>
        <w:p w14:paraId="3BEE71C7" w14:textId="77777777" w:rsidR="00D34050" w:rsidRDefault="00D34050">
          <w:pPr>
            <w:pStyle w:val="RevisionLog"/>
            <w:rPr>
              <w:lang w:val="en-GB"/>
            </w:rPr>
          </w:pPr>
        </w:p>
      </w:tc>
      <w:tc>
        <w:tcPr>
          <w:tcW w:w="1418" w:type="dxa"/>
        </w:tcPr>
        <w:p w14:paraId="458FA726" w14:textId="77777777" w:rsidR="00D34050" w:rsidRDefault="00D34050">
          <w:pPr>
            <w:pStyle w:val="RevisionLog"/>
            <w:rPr>
              <w:lang w:val="en-GB"/>
            </w:rPr>
          </w:pPr>
        </w:p>
      </w:tc>
      <w:tc>
        <w:tcPr>
          <w:tcW w:w="2268" w:type="dxa"/>
        </w:tcPr>
        <w:p w14:paraId="330C3E10" w14:textId="77777777" w:rsidR="00D34050" w:rsidRDefault="00D34050">
          <w:pPr>
            <w:pStyle w:val="RevisionLog"/>
            <w:rPr>
              <w:lang w:val="en-GB"/>
            </w:rPr>
          </w:pPr>
        </w:p>
      </w:tc>
      <w:tc>
        <w:tcPr>
          <w:tcW w:w="1418" w:type="dxa"/>
        </w:tcPr>
        <w:p w14:paraId="77B5BCCF" w14:textId="77777777" w:rsidR="00D34050" w:rsidRDefault="00D34050">
          <w:pPr>
            <w:pStyle w:val="RevisionLog"/>
            <w:rPr>
              <w:lang w:val="en-GB"/>
            </w:rPr>
          </w:pPr>
        </w:p>
      </w:tc>
      <w:tc>
        <w:tcPr>
          <w:tcW w:w="1418" w:type="dxa"/>
        </w:tcPr>
        <w:p w14:paraId="1219389A" w14:textId="77777777" w:rsidR="00D34050" w:rsidRDefault="00D34050">
          <w:pPr>
            <w:pStyle w:val="RevisionLog"/>
            <w:rPr>
              <w:lang w:val="en-GB"/>
            </w:rPr>
          </w:pPr>
        </w:p>
      </w:tc>
      <w:tc>
        <w:tcPr>
          <w:tcW w:w="1418" w:type="dxa"/>
        </w:tcPr>
        <w:p w14:paraId="6C9D38E5" w14:textId="77777777" w:rsidR="00D34050" w:rsidRDefault="00D34050">
          <w:pPr>
            <w:pStyle w:val="RevisionLog"/>
            <w:rPr>
              <w:lang w:val="en-GB"/>
            </w:rPr>
          </w:pPr>
        </w:p>
      </w:tc>
      <w:tc>
        <w:tcPr>
          <w:tcW w:w="340" w:type="dxa"/>
        </w:tcPr>
        <w:p w14:paraId="669C97EF" w14:textId="77777777" w:rsidR="00D34050" w:rsidRDefault="00D34050">
          <w:pPr>
            <w:pStyle w:val="RevisionLog"/>
            <w:rPr>
              <w:lang w:val="en-GB"/>
            </w:rPr>
          </w:pPr>
        </w:p>
      </w:tc>
    </w:tr>
    <w:tr w:rsidR="00D34050" w14:paraId="2AF4CAD2" w14:textId="77777777" w:rsidTr="00B64EB3">
      <w:tc>
        <w:tcPr>
          <w:tcW w:w="1418" w:type="dxa"/>
        </w:tcPr>
        <w:p w14:paraId="0D2F7D65" w14:textId="77777777" w:rsidR="00D34050" w:rsidRDefault="00D34050">
          <w:pPr>
            <w:pStyle w:val="RevisionLog"/>
            <w:rPr>
              <w:rStyle w:val="CowiLabel"/>
            </w:rPr>
          </w:pPr>
          <w:r>
            <w:rPr>
              <w:rStyle w:val="CowiLabel"/>
            </w:rPr>
            <w:t>Version</w:t>
          </w:r>
        </w:p>
      </w:tc>
      <w:tc>
        <w:tcPr>
          <w:tcW w:w="1418" w:type="dxa"/>
        </w:tcPr>
        <w:p w14:paraId="71EA471B" w14:textId="77777777" w:rsidR="00D34050" w:rsidRDefault="00D34050">
          <w:pPr>
            <w:pStyle w:val="RevisionLog"/>
            <w:rPr>
              <w:rStyle w:val="CowiLabel"/>
            </w:rPr>
          </w:pPr>
          <w:r>
            <w:rPr>
              <w:rStyle w:val="CowiLabel"/>
            </w:rPr>
            <w:t>Udgivelsesdato</w:t>
          </w:r>
        </w:p>
      </w:tc>
      <w:tc>
        <w:tcPr>
          <w:tcW w:w="2268" w:type="dxa"/>
        </w:tcPr>
        <w:p w14:paraId="43B6D896" w14:textId="77777777" w:rsidR="00D34050" w:rsidRDefault="00D34050">
          <w:pPr>
            <w:pStyle w:val="RevisionLog"/>
            <w:rPr>
              <w:rStyle w:val="CowiLabel"/>
            </w:rPr>
          </w:pPr>
          <w:r>
            <w:rPr>
              <w:rStyle w:val="CowiLabel"/>
            </w:rPr>
            <w:t>Beskrivelse</w:t>
          </w:r>
        </w:p>
      </w:tc>
      <w:tc>
        <w:tcPr>
          <w:tcW w:w="1418" w:type="dxa"/>
        </w:tcPr>
        <w:p w14:paraId="589FBD0B" w14:textId="77777777" w:rsidR="00D34050" w:rsidRDefault="00D34050">
          <w:pPr>
            <w:pStyle w:val="RevisionLog"/>
            <w:rPr>
              <w:rStyle w:val="CowiLabel"/>
            </w:rPr>
          </w:pPr>
          <w:r>
            <w:rPr>
              <w:rStyle w:val="CowiLabel"/>
            </w:rPr>
            <w:t>Udarbejdet</w:t>
          </w:r>
        </w:p>
      </w:tc>
      <w:tc>
        <w:tcPr>
          <w:tcW w:w="1418" w:type="dxa"/>
        </w:tcPr>
        <w:p w14:paraId="032444F0" w14:textId="77777777" w:rsidR="00D34050" w:rsidRDefault="00D34050">
          <w:pPr>
            <w:pStyle w:val="RevisionLog"/>
            <w:rPr>
              <w:rStyle w:val="CowiLabel"/>
            </w:rPr>
          </w:pPr>
          <w:r>
            <w:rPr>
              <w:rStyle w:val="CowiLabel"/>
            </w:rPr>
            <w:t>Kontrolleret</w:t>
          </w:r>
        </w:p>
      </w:tc>
      <w:tc>
        <w:tcPr>
          <w:tcW w:w="1418" w:type="dxa"/>
        </w:tcPr>
        <w:p w14:paraId="21755AEB" w14:textId="77777777" w:rsidR="00D34050" w:rsidRDefault="00D34050">
          <w:pPr>
            <w:pStyle w:val="RevisionLog"/>
            <w:rPr>
              <w:rStyle w:val="CowiLabel"/>
            </w:rPr>
          </w:pPr>
          <w:r>
            <w:rPr>
              <w:rStyle w:val="CowiLabel"/>
            </w:rPr>
            <w:t>Godkendt</w:t>
          </w:r>
        </w:p>
      </w:tc>
      <w:tc>
        <w:tcPr>
          <w:tcW w:w="340" w:type="dxa"/>
        </w:tcPr>
        <w:p w14:paraId="2E2DB7E6" w14:textId="77777777" w:rsidR="00D34050" w:rsidRDefault="00D34050">
          <w:pPr>
            <w:pStyle w:val="RevisionLog"/>
            <w:rPr>
              <w:rStyle w:val="CowiLabel"/>
            </w:rPr>
          </w:pPr>
        </w:p>
      </w:tc>
    </w:tr>
    <w:tr w:rsidR="00D34050" w14:paraId="48F2AE30" w14:textId="77777777" w:rsidTr="00B64EB3">
      <w:tc>
        <w:tcPr>
          <w:tcW w:w="1418" w:type="dxa"/>
        </w:tcPr>
        <w:p w14:paraId="0C15B315" w14:textId="5EAC1B35" w:rsidR="00D34050" w:rsidRDefault="00DA77C7">
          <w:pPr>
            <w:pStyle w:val="RevisionLog"/>
            <w:rPr>
              <w:lang w:val="en-GB"/>
            </w:rPr>
          </w:pPr>
          <w:r>
            <w:rPr>
              <w:lang w:val="en-GB"/>
            </w:rPr>
            <w:t>1.0</w:t>
          </w:r>
        </w:p>
      </w:tc>
      <w:tc>
        <w:tcPr>
          <w:tcW w:w="1418" w:type="dxa"/>
        </w:tcPr>
        <w:p w14:paraId="3783E979" w14:textId="6C311C05" w:rsidR="00D34050" w:rsidRDefault="00282473">
          <w:pPr>
            <w:pStyle w:val="RevisionLog"/>
            <w:rPr>
              <w:lang w:val="en-GB"/>
            </w:rPr>
          </w:pPr>
          <w:r>
            <w:rPr>
              <w:lang w:val="en-GB"/>
            </w:rPr>
            <w:t>26-11-2021</w:t>
          </w:r>
        </w:p>
      </w:tc>
      <w:tc>
        <w:tcPr>
          <w:tcW w:w="2268" w:type="dxa"/>
        </w:tcPr>
        <w:p w14:paraId="5AA08D50" w14:textId="77777777" w:rsidR="00D34050" w:rsidRDefault="00D34050">
          <w:pPr>
            <w:pStyle w:val="RevisionLog"/>
            <w:rPr>
              <w:lang w:val="en-GB"/>
            </w:rPr>
          </w:pPr>
        </w:p>
      </w:tc>
      <w:tc>
        <w:tcPr>
          <w:tcW w:w="1418" w:type="dxa"/>
        </w:tcPr>
        <w:p w14:paraId="5C5A2568" w14:textId="25D38B72" w:rsidR="00D34050" w:rsidRDefault="00282473">
          <w:pPr>
            <w:pStyle w:val="RevisionLog"/>
            <w:rPr>
              <w:lang w:val="en-GB"/>
            </w:rPr>
          </w:pPr>
          <w:r>
            <w:rPr>
              <w:lang w:val="en-GB"/>
            </w:rPr>
            <w:t>APHE, JJD, MA</w:t>
          </w:r>
          <w:r w:rsidR="00E13FC2">
            <w:rPr>
              <w:lang w:val="en-GB"/>
            </w:rPr>
            <w:t>MNX</w:t>
          </w:r>
        </w:p>
      </w:tc>
      <w:tc>
        <w:tcPr>
          <w:tcW w:w="1418" w:type="dxa"/>
        </w:tcPr>
        <w:p w14:paraId="0959DD7A" w14:textId="25FC103D" w:rsidR="00D34050" w:rsidRDefault="00E13FC2">
          <w:pPr>
            <w:pStyle w:val="RevisionLog"/>
            <w:rPr>
              <w:lang w:val="en-GB"/>
            </w:rPr>
          </w:pPr>
          <w:r>
            <w:rPr>
              <w:lang w:val="en-GB"/>
            </w:rPr>
            <w:t>OLEK</w:t>
          </w:r>
        </w:p>
      </w:tc>
      <w:tc>
        <w:tcPr>
          <w:tcW w:w="1418" w:type="dxa"/>
        </w:tcPr>
        <w:p w14:paraId="57924ADD" w14:textId="1C76463B" w:rsidR="00D34050" w:rsidRDefault="00805E15">
          <w:pPr>
            <w:pStyle w:val="RevisionLog"/>
            <w:rPr>
              <w:lang w:val="en-GB"/>
            </w:rPr>
          </w:pPr>
          <w:r>
            <w:rPr>
              <w:lang w:val="en-GB"/>
            </w:rPr>
            <w:t>JJD</w:t>
          </w:r>
        </w:p>
      </w:tc>
      <w:tc>
        <w:tcPr>
          <w:tcW w:w="340" w:type="dxa"/>
        </w:tcPr>
        <w:p w14:paraId="224EED4F" w14:textId="77777777" w:rsidR="00D34050" w:rsidRDefault="00D34050">
          <w:pPr>
            <w:pStyle w:val="RevisionLog"/>
          </w:pPr>
        </w:p>
      </w:tc>
    </w:tr>
  </w:tbl>
  <w:p w14:paraId="21115403" w14:textId="77777777" w:rsidR="00D34050" w:rsidRDefault="00D34050">
    <w:pPr>
      <w:pStyle w:val="Header"/>
    </w:pPr>
    <w:r>
      <w:rPr>
        <w:noProof/>
      </w:rPr>
      <mc:AlternateContent>
        <mc:Choice Requires="wpg">
          <w:drawing>
            <wp:anchor distT="0" distB="0" distL="114300" distR="114300" simplePos="0" relativeHeight="251658240" behindDoc="1" locked="0" layoutInCell="1" allowOverlap="1" wp14:anchorId="587B00EE" wp14:editId="01DF825B">
              <wp:simplePos x="0" y="0"/>
              <wp:positionH relativeFrom="page">
                <wp:align>right</wp:align>
              </wp:positionH>
              <wp:positionV relativeFrom="page">
                <wp:align>bottom</wp:align>
              </wp:positionV>
              <wp:extent cx="4572000" cy="4143600"/>
              <wp:effectExtent l="0" t="0" r="0" b="9525"/>
              <wp:wrapNone/>
              <wp:docPr id="8" name="Group 8"/>
              <wp:cNvGraphicFramePr/>
              <a:graphic xmlns:a="http://schemas.openxmlformats.org/drawingml/2006/main">
                <a:graphicData uri="http://schemas.microsoft.com/office/word/2010/wordprocessingGroup">
                  <wpg:wgp>
                    <wpg:cNvGrpSpPr/>
                    <wpg:grpSpPr>
                      <a:xfrm>
                        <a:off x="0" y="0"/>
                        <a:ext cx="4572000" cy="4143600"/>
                        <a:chOff x="0" y="0"/>
                        <a:chExt cx="4572001" cy="4140201"/>
                      </a:xfrm>
                    </wpg:grpSpPr>
                    <wps:wsp>
                      <wps:cNvPr id="9" name="Freeform 9"/>
                      <wps:cNvSpPr/>
                      <wps:spPr>
                        <a:xfrm>
                          <a:off x="2778125" y="0"/>
                          <a:ext cx="1181101" cy="2032001"/>
                        </a:xfrm>
                        <a:custGeom>
                          <a:avLst/>
                          <a:gdLst/>
                          <a:ahLst/>
                          <a:cxnLst/>
                          <a:rect l="0" t="0" r="0" b="0"/>
                          <a:pathLst>
                            <a:path w="1181101" h="2032001">
                              <a:moveTo>
                                <a:pt x="0" y="0"/>
                              </a:moveTo>
                              <a:lnTo>
                                <a:pt x="1181100" y="2019300"/>
                              </a:lnTo>
                              <a:lnTo>
                                <a:pt x="1181100" y="2032000"/>
                              </a:lnTo>
                              <a:lnTo>
                                <a:pt x="152400" y="2019300"/>
                              </a:lnTo>
                              <a:lnTo>
                                <a:pt x="152400" y="2006600"/>
                              </a:lnTo>
                              <a:close/>
                            </a:path>
                          </a:pathLst>
                        </a:custGeom>
                        <a:gradFill flip="none" rotWithShape="1">
                          <a:gsLst>
                            <a:gs pos="0">
                              <a:srgbClr val="E6E6E6"/>
                            </a:gs>
                            <a:gs pos="100000">
                              <a:srgbClr val="E6E6E6">
                                <a:tint val="30000"/>
                              </a:srgbClr>
                            </a:gs>
                          </a:gsLst>
                          <a:lin ang="16200000" scaled="1"/>
                          <a:tileRect/>
                        </a:gradFill>
                        <a:ln w="0" cap="flat" cmpd="sng" algn="ctr">
                          <a:noFill/>
                          <a:prstDash val="solid"/>
                          <a:round/>
                          <a:headEnd type="none" w="med" len="med"/>
                          <a:tailEnd type="none" w="med" len="med"/>
                        </a:ln>
                        <a:effectLst/>
                        <a:extLst>
                          <a:ext uri="{91240B29-F687-4F45-9708-019B960494DF}">
                            <a14:hiddenLine xmlns:a14="http://schemas.microsoft.com/office/drawing/2010/main" w="0" cap="flat" cmpd="sng" algn="ctr">
                              <a:solidFill>
                                <a:schemeClr val="accent1">
                                  <a:shade val="5000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wps:wsp>
                    <wps:wsp>
                      <wps:cNvPr id="10" name="Freeform 10"/>
                      <wps:cNvSpPr/>
                      <wps:spPr>
                        <a:xfrm>
                          <a:off x="1978025" y="1981200"/>
                          <a:ext cx="1981201" cy="622301"/>
                        </a:xfrm>
                        <a:custGeom>
                          <a:avLst/>
                          <a:gdLst/>
                          <a:ahLst/>
                          <a:cxnLst/>
                          <a:rect l="0" t="0" r="0" b="0"/>
                          <a:pathLst>
                            <a:path w="1981201" h="622301">
                              <a:moveTo>
                                <a:pt x="381000" y="0"/>
                              </a:moveTo>
                              <a:lnTo>
                                <a:pt x="1981200" y="38100"/>
                              </a:lnTo>
                              <a:lnTo>
                                <a:pt x="1981200" y="50800"/>
                              </a:lnTo>
                              <a:lnTo>
                                <a:pt x="0" y="622300"/>
                              </a:lnTo>
                              <a:lnTo>
                                <a:pt x="0" y="609600"/>
                              </a:lnTo>
                              <a:close/>
                            </a:path>
                          </a:pathLst>
                        </a:custGeom>
                        <a:gradFill flip="none" rotWithShape="1">
                          <a:gsLst>
                            <a:gs pos="0">
                              <a:srgbClr val="E6E6E6"/>
                            </a:gs>
                            <a:gs pos="100000">
                              <a:srgbClr val="E6E6E6">
                                <a:tint val="60000"/>
                              </a:srgbClr>
                            </a:gs>
                          </a:gsLst>
                          <a:lin ang="16200000" scaled="1"/>
                          <a:tileRect/>
                        </a:gradFill>
                        <a:ln w="0" cap="flat" cmpd="sng" algn="ctr">
                          <a:noFill/>
                          <a:prstDash val="solid"/>
                          <a:round/>
                          <a:headEnd type="none" w="med" len="med"/>
                          <a:tailEnd type="none" w="med" len="med"/>
                        </a:ln>
                        <a:effectLst/>
                        <a:extLst>
                          <a:ext uri="{91240B29-F687-4F45-9708-019B960494DF}">
                            <a14:hiddenLine xmlns:a14="http://schemas.microsoft.com/office/drawing/2010/main" w="0" cap="flat" cmpd="sng" algn="ctr">
                              <a:solidFill>
                                <a:schemeClr val="accent1">
                                  <a:shade val="5000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wps:wsp>
                    <wps:wsp>
                      <wps:cNvPr id="11" name="Freeform 11"/>
                      <wps:cNvSpPr/>
                      <wps:spPr>
                        <a:xfrm>
                          <a:off x="3949700" y="2019300"/>
                          <a:ext cx="622301" cy="2108201"/>
                        </a:xfrm>
                        <a:custGeom>
                          <a:avLst/>
                          <a:gdLst/>
                          <a:ahLst/>
                          <a:cxnLst/>
                          <a:rect l="0" t="0" r="0" b="0"/>
                          <a:pathLst>
                            <a:path w="622301" h="2108201">
                              <a:moveTo>
                                <a:pt x="622300" y="469900"/>
                              </a:moveTo>
                              <a:lnTo>
                                <a:pt x="381000" y="2108200"/>
                              </a:lnTo>
                              <a:lnTo>
                                <a:pt x="368300" y="2108200"/>
                              </a:lnTo>
                              <a:lnTo>
                                <a:pt x="0" y="12700"/>
                              </a:lnTo>
                              <a:lnTo>
                                <a:pt x="12700" y="0"/>
                              </a:lnTo>
                              <a:close/>
                            </a:path>
                          </a:pathLst>
                        </a:custGeom>
                        <a:gradFill flip="none" rotWithShape="1">
                          <a:gsLst>
                            <a:gs pos="0">
                              <a:srgbClr val="EBEBEB"/>
                            </a:gs>
                            <a:gs pos="100000">
                              <a:srgbClr val="EBEBEB">
                                <a:tint val="10000"/>
                              </a:srgbClr>
                            </a:gs>
                          </a:gsLst>
                          <a:lin ang="0" scaled="1"/>
                          <a:tileRect/>
                        </a:gradFill>
                        <a:ln w="0" cap="flat" cmpd="sng" algn="ctr">
                          <a:noFill/>
                          <a:prstDash val="solid"/>
                          <a:round/>
                          <a:headEnd type="none" w="med" len="med"/>
                          <a:tailEnd type="none" w="med" len="med"/>
                        </a:ln>
                        <a:effectLst/>
                        <a:extLst>
                          <a:ext uri="{91240B29-F687-4F45-9708-019B960494DF}">
                            <a14:hiddenLine xmlns:a14="http://schemas.microsoft.com/office/drawing/2010/main" w="0" cap="flat" cmpd="sng" algn="ctr">
                              <a:solidFill>
                                <a:schemeClr val="accent1">
                                  <a:shade val="5000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wps:wsp>
                    <wps:wsp>
                      <wps:cNvPr id="12" name="Freeform 12"/>
                      <wps:cNvSpPr/>
                      <wps:spPr>
                        <a:xfrm>
                          <a:off x="0" y="2019300"/>
                          <a:ext cx="4330701" cy="2120901"/>
                        </a:xfrm>
                        <a:custGeom>
                          <a:avLst/>
                          <a:gdLst/>
                          <a:ahLst/>
                          <a:cxnLst/>
                          <a:rect l="0" t="0" r="0" b="0"/>
                          <a:pathLst>
                            <a:path w="4330701" h="2120901">
                              <a:moveTo>
                                <a:pt x="3962400" y="0"/>
                              </a:moveTo>
                              <a:lnTo>
                                <a:pt x="4330700" y="2120900"/>
                              </a:lnTo>
                              <a:lnTo>
                                <a:pt x="0" y="1143000"/>
                              </a:lnTo>
                              <a:close/>
                            </a:path>
                          </a:pathLst>
                        </a:custGeom>
                        <a:gradFill flip="none" rotWithShape="1">
                          <a:gsLst>
                            <a:gs pos="0">
                              <a:srgbClr val="D7D7D7"/>
                            </a:gs>
                            <a:gs pos="100000">
                              <a:srgbClr val="D7D7D7">
                                <a:tint val="10000"/>
                              </a:srgbClr>
                            </a:gs>
                          </a:gsLst>
                          <a:lin ang="5400000" scaled="1"/>
                          <a:tileRect/>
                        </a:gradFill>
                        <a:ln w="0" cap="flat" cmpd="sng" algn="ctr">
                          <a:noFill/>
                          <a:prstDash val="solid"/>
                          <a:round/>
                          <a:headEnd type="none" w="med" len="med"/>
                          <a:tailEnd type="none" w="med" len="med"/>
                        </a:ln>
                        <a:effectLst/>
                        <a:extLst>
                          <a:ext uri="{91240B29-F687-4F45-9708-019B960494DF}">
                            <a14:hiddenLine xmlns:a14="http://schemas.microsoft.com/office/drawing/2010/main" w="0" cap="flat" cmpd="sng" algn="ctr">
                              <a:solidFill>
                                <a:schemeClr val="accent1">
                                  <a:shade val="50000"/>
                                </a:schemeClr>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14:sizeRelV relativeFrom="margin">
                <wp14:pctHeight>0</wp14:pctHeight>
              </wp14:sizeRelV>
            </wp:anchor>
          </w:drawing>
        </mc:Choice>
        <mc:Fallback>
          <w:pict>
            <v:group w14:anchorId="11FB8108" id="Group 8" o:spid="_x0000_s1026" style="position:absolute;margin-left:308.8pt;margin-top:0;width:5in;height:326.25pt;z-index:-251658240;mso-position-horizontal:right;mso-position-horizontal-relative:page;mso-position-vertical:bottom;mso-position-vertical-relative:page;mso-height-relative:margin" coordsize="45720,4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">
              <v:shape id="Freeform 9" o:spid="_x0000_s1027" style="position:absolute;left:27781;width:11811;height:20320;visibility:visible;mso-wrap-style:square;v-text-anchor:top" coordsize="1181101,203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" path="m,l1181100,2019300r,12700l152400,2019300r,-12700l,xe" fillcolor="#e6e6e6" stroked="f" strokecolor="#212c34 [1604]" strokeweight="0">
                <v:fill color2="#f8f8f8" rotate="t" angle="180" focus="100%" type="gradient"/>
                <v:path arrowok="t" textboxrect="0,0,1181101,2032001"/>
              </v:shape>
              <v:shape id="Freeform 10" o:spid="_x0000_s1028" style="position:absolute;left:19780;top:19812;width:19812;height:6223;visibility:visible;mso-wrap-style:square;v-text-anchor:top" coordsize="1981201,62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" path="m381000,l1981200,38100r,12700l,622300,,609600,381000,xe" fillcolor="#e6e6e6" stroked="f" strokecolor="#212c34 [1604]" strokeweight="0">
                <v:fill color2="#f0f0f0" rotate="t" angle="180" focus="100%" type="gradient"/>
                <v:path arrowok="t" textboxrect="0,0,1981201,622301"/>
              </v:shape>
              <v:shape id="Freeform 11" o:spid="_x0000_s1029" style="position:absolute;left:39497;top:20193;width:6223;height:21082;visibility:visible;mso-wrap-style:square;v-text-anchor:top" coordsize="622301,210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" path="m622300,469900l381000,2108200r-12700,l,12700,12700,,622300,469900xe" fillcolor="#ebebeb" stroked="f" strokecolor="#212c34 [1604]" strokeweight="0">
                <v:fill color2="#fdfdfd" rotate="t" angle="90" focus="100%" type="gradient"/>
                <v:path arrowok="t" textboxrect="0,0,622301,2108201"/>
              </v:shape>
              <v:shape id="Freeform 12" o:spid="_x0000_s1030" style="position:absolute;top:20193;width:43307;height:21209;visibility:visible;mso-wrap-style:square;v-text-anchor:top" coordsize="4330701,212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" path="m3962400,r368300,2120900l,1143000,3962400,xe" fillcolor="#d7d7d7" stroked="f" strokecolor="#212c34 [1604]" strokeweight="0">
                <v:fill color2="#fbfbfb" rotate="t" focus="100%" type="gradient"/>
                <v:path arrowok="t" textboxrect="0,0,4330701,212090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A9AE8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68AD6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F025CF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46C63B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FB"/>
    <w:multiLevelType w:val="multilevel"/>
    <w:tmpl w:val="E65CEB76"/>
    <w:lvl w:ilvl="0">
      <w:start w:val="1"/>
      <w:numFmt w:val="none"/>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none"/>
      <w:suff w:val="nothing"/>
      <w:lvlText w:val=""/>
      <w:lvlJc w:val="left"/>
      <w:pPr>
        <w:ind w:left="0" w:firstLine="0"/>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0" w:firstLine="0"/>
      </w:p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35162AF"/>
    <w:multiLevelType w:val="singleLevel"/>
    <w:tmpl w:val="E03022E2"/>
    <w:lvl w:ilvl="0">
      <w:start w:val="1"/>
      <w:numFmt w:val="decimal"/>
      <w:lvlText w:val="%1."/>
      <w:legacy w:legacy="1" w:legacySpace="0" w:legacyIndent="283"/>
      <w:lvlJc w:val="left"/>
      <w:pPr>
        <w:ind w:left="283" w:hanging="283"/>
      </w:pPr>
    </w:lvl>
  </w:abstractNum>
  <w:abstractNum w:abstractNumId="7" w15:restartNumberingAfterBreak="0">
    <w:nsid w:val="05B340E1"/>
    <w:multiLevelType w:val="multilevel"/>
    <w:tmpl w:val="B54EFC8C"/>
    <w:styleLink w:val="CowiHeadings"/>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1276"/>
        </w:tabs>
        <w:ind w:left="1276" w:hanging="1276"/>
      </w:pPr>
      <w:rPr>
        <w:rFonts w:hint="default"/>
      </w:rPr>
    </w:lvl>
    <w:lvl w:ilvl="4">
      <w:start w:val="1"/>
      <w:numFmt w:val="decimal"/>
      <w:lvlText w:val="%1.%2.%3.%4.%5"/>
      <w:lvlJc w:val="left"/>
      <w:pPr>
        <w:tabs>
          <w:tab w:val="num" w:pos="1276"/>
        </w:tabs>
        <w:ind w:left="1276" w:hanging="1276"/>
      </w:pPr>
      <w:rPr>
        <w:rFonts w:hint="default"/>
      </w:rPr>
    </w:lvl>
    <w:lvl w:ilvl="5">
      <w:start w:val="1"/>
      <w:numFmt w:val="lowerRoman"/>
      <w:lvlText w:val="(%6)"/>
      <w:lvlJc w:val="left"/>
      <w:pPr>
        <w:tabs>
          <w:tab w:val="num" w:pos="851"/>
        </w:tabs>
        <w:ind w:left="851" w:hanging="851"/>
      </w:pPr>
      <w:rPr>
        <w:rFonts w:hint="default"/>
      </w:rPr>
    </w:lvl>
    <w:lvl w:ilvl="6">
      <w:start w:val="1"/>
      <w:numFmt w:val="upperLetter"/>
      <w:lvlRestart w:val="0"/>
      <w:pStyle w:val="Heading7"/>
      <w:lvlText w:val="Bilag %7"/>
      <w:lvlJc w:val="left"/>
      <w:pPr>
        <w:tabs>
          <w:tab w:val="num" w:pos="1276"/>
        </w:tabs>
        <w:ind w:left="0" w:firstLine="0"/>
      </w:pPr>
      <w:rPr>
        <w:rFonts w:hint="default"/>
      </w:rPr>
    </w:lvl>
    <w:lvl w:ilvl="7">
      <w:start w:val="1"/>
      <w:numFmt w:val="decimal"/>
      <w:pStyle w:val="Heading8"/>
      <w:lvlText w:val="%7.%8"/>
      <w:lvlJc w:val="left"/>
      <w:pPr>
        <w:tabs>
          <w:tab w:val="num" w:pos="851"/>
        </w:tabs>
        <w:ind w:left="851" w:hanging="851"/>
      </w:pPr>
      <w:rPr>
        <w:rFonts w:hint="default"/>
      </w:rPr>
    </w:lvl>
    <w:lvl w:ilvl="8">
      <w:start w:val="1"/>
      <w:numFmt w:val="decimal"/>
      <w:pStyle w:val="Heading9"/>
      <w:lvlText w:val="%7.%8.%9"/>
      <w:lvlJc w:val="left"/>
      <w:pPr>
        <w:tabs>
          <w:tab w:val="num" w:pos="851"/>
        </w:tabs>
        <w:ind w:left="851" w:hanging="851"/>
      </w:pPr>
      <w:rPr>
        <w:rFonts w:hint="default"/>
      </w:rPr>
    </w:lvl>
  </w:abstractNum>
  <w:abstractNum w:abstractNumId="8" w15:restartNumberingAfterBreak="0">
    <w:nsid w:val="0BC83254"/>
    <w:multiLevelType w:val="multilevel"/>
    <w:tmpl w:val="680E4530"/>
    <w:lvl w:ilvl="0">
      <w:start w:val="1"/>
      <w:numFmt w:val="decimal"/>
      <w:lvlText w:val="%1"/>
      <w:lvlJc w:val="left"/>
      <w:pPr>
        <w:tabs>
          <w:tab w:val="num" w:pos="851"/>
        </w:tabs>
        <w:ind w:left="851" w:hanging="851"/>
      </w:pPr>
    </w:lvl>
    <w:lvl w:ilvl="1">
      <w:start w:val="1"/>
      <w:numFmt w:val="decimal"/>
      <w:lvlText w:val="%1.%2"/>
      <w:lvlJc w:val="left"/>
      <w:pPr>
        <w:tabs>
          <w:tab w:val="num" w:pos="0"/>
        </w:tabs>
        <w:ind w:left="851" w:hanging="851"/>
      </w:pPr>
    </w:lvl>
    <w:lvl w:ilvl="2">
      <w:start w:val="1"/>
      <w:numFmt w:val="decimal"/>
      <w:lvlText w:val="%1.%2.%3"/>
      <w:lvlJc w:val="left"/>
      <w:pPr>
        <w:tabs>
          <w:tab w:val="num" w:pos="720"/>
        </w:tabs>
        <w:ind w:left="0" w:firstLine="0"/>
      </w:pPr>
    </w:lvl>
    <w:lvl w:ilvl="3">
      <w:start w:val="1"/>
      <w:numFmt w:val="none"/>
      <w:suff w:val="nothing"/>
      <w:lvlText w:val=""/>
      <w:lvlJc w:val="left"/>
      <w:pPr>
        <w:ind w:left="0" w:firstLine="0"/>
      </w:pPr>
    </w:lvl>
    <w:lvl w:ilvl="4">
      <w:start w:val="1"/>
      <w:numFmt w:val="decimal"/>
      <w:lvlText w:val="(%5)"/>
      <w:lvlJc w:val="left"/>
      <w:pPr>
        <w:tabs>
          <w:tab w:val="num" w:pos="0"/>
        </w:tabs>
        <w:ind w:left="2410" w:hanging="708"/>
      </w:pPr>
    </w:lvl>
    <w:lvl w:ilvl="5">
      <w:start w:val="1"/>
      <w:numFmt w:val="lowerLetter"/>
      <w:lvlText w:val="(%6)"/>
      <w:lvlJc w:val="left"/>
      <w:pPr>
        <w:tabs>
          <w:tab w:val="num" w:pos="0"/>
        </w:tabs>
        <w:ind w:left="3118" w:hanging="708"/>
      </w:pPr>
    </w:lvl>
    <w:lvl w:ilvl="6">
      <w:start w:val="1"/>
      <w:numFmt w:val="lowerRoman"/>
      <w:lvlText w:val="(%7)"/>
      <w:lvlJc w:val="left"/>
      <w:pPr>
        <w:tabs>
          <w:tab w:val="num" w:pos="0"/>
        </w:tabs>
        <w:ind w:left="3826" w:hanging="708"/>
      </w:pPr>
    </w:lvl>
    <w:lvl w:ilvl="7">
      <w:start w:val="1"/>
      <w:numFmt w:val="lowerLetter"/>
      <w:lvlText w:val="(%8)"/>
      <w:lvlJc w:val="left"/>
      <w:pPr>
        <w:tabs>
          <w:tab w:val="num" w:pos="0"/>
        </w:tabs>
        <w:ind w:left="4534" w:hanging="708"/>
      </w:pPr>
    </w:lvl>
    <w:lvl w:ilvl="8">
      <w:start w:val="1"/>
      <w:numFmt w:val="lowerRoman"/>
      <w:lvlText w:val="(%9)"/>
      <w:lvlJc w:val="left"/>
      <w:pPr>
        <w:tabs>
          <w:tab w:val="num" w:pos="0"/>
        </w:tabs>
        <w:ind w:left="5242" w:hanging="708"/>
      </w:pPr>
    </w:lvl>
  </w:abstractNum>
  <w:abstractNum w:abstractNumId="9" w15:restartNumberingAfterBreak="0">
    <w:nsid w:val="0CFD7AD9"/>
    <w:multiLevelType w:val="multilevel"/>
    <w:tmpl w:val="28B2803E"/>
    <w:styleLink w:val="CowiBulletList"/>
    <w:lvl w:ilvl="0">
      <w:start w:val="1"/>
      <w:numFmt w:val="bullet"/>
      <w:pStyle w:val="ListBullet"/>
      <w:lvlText w:val="›"/>
      <w:lvlJc w:val="left"/>
      <w:pPr>
        <w:tabs>
          <w:tab w:val="num" w:pos="425"/>
        </w:tabs>
        <w:ind w:left="425" w:hanging="425"/>
      </w:pPr>
      <w:rPr>
        <w:rFonts w:hint="default"/>
        <w:color w:val="F04E23"/>
        <w:position w:val="0"/>
        <w:sz w:val="24"/>
      </w:rPr>
    </w:lvl>
    <w:lvl w:ilvl="1">
      <w:start w:val="1"/>
      <w:numFmt w:val="bullet"/>
      <w:pStyle w:val="ListBullet2"/>
      <w:lvlText w:val="›"/>
      <w:lvlJc w:val="left"/>
      <w:pPr>
        <w:tabs>
          <w:tab w:val="num" w:pos="851"/>
        </w:tabs>
        <w:ind w:left="851" w:hanging="426"/>
      </w:pPr>
      <w:rPr>
        <w:rFonts w:hint="default"/>
        <w:color w:val="333333"/>
        <w:position w:val="0"/>
        <w:sz w:val="24"/>
      </w:rPr>
    </w:lvl>
    <w:lvl w:ilvl="2">
      <w:start w:val="1"/>
      <w:numFmt w:val="bullet"/>
      <w:pStyle w:val="ListBullet3"/>
      <w:lvlText w:val="›"/>
      <w:lvlJc w:val="left"/>
      <w:pPr>
        <w:tabs>
          <w:tab w:val="num" w:pos="1276"/>
        </w:tabs>
        <w:ind w:left="1276" w:hanging="425"/>
      </w:pPr>
      <w:rPr>
        <w:rFonts w:hint="default"/>
        <w:color w:val="333333"/>
        <w:position w:val="0"/>
        <w:sz w:val="24"/>
      </w:rPr>
    </w:lvl>
    <w:lvl w:ilvl="3">
      <w:start w:val="1"/>
      <w:numFmt w:val="bullet"/>
      <w:pStyle w:val="ListBullet4"/>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0" w15:restartNumberingAfterBreak="0">
    <w:nsid w:val="1B0D7A83"/>
    <w:multiLevelType w:val="multilevel"/>
    <w:tmpl w:val="DB725200"/>
    <w:styleLink w:val="CowiNumberList"/>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851"/>
        </w:tabs>
        <w:ind w:left="851" w:hanging="426"/>
      </w:pPr>
      <w:rPr>
        <w:rFonts w:hint="default"/>
      </w:rPr>
    </w:lvl>
    <w:lvl w:ilvl="2">
      <w:start w:val="1"/>
      <w:numFmt w:val="lowerLetter"/>
      <w:pStyle w:val="ListNumber3"/>
      <w:lvlText w:val="%3)"/>
      <w:lvlJc w:val="left"/>
      <w:pPr>
        <w:tabs>
          <w:tab w:val="num" w:pos="1276"/>
        </w:tabs>
        <w:ind w:left="1276" w:hanging="425"/>
      </w:pPr>
      <w:rPr>
        <w:rFonts w:hint="default"/>
      </w:rPr>
    </w:lvl>
    <w:lvl w:ilvl="3">
      <w:start w:val="1"/>
      <w:numFmt w:val="lowerRoman"/>
      <w:pStyle w:val="ListNumber4"/>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15:restartNumberingAfterBreak="0">
    <w:nsid w:val="23331117"/>
    <w:multiLevelType w:val="multilevel"/>
    <w:tmpl w:val="5BDA225C"/>
    <w:styleLink w:val="CowiTableNumberList"/>
    <w:lvl w:ilvl="0">
      <w:start w:val="1"/>
      <w:numFmt w:val="decimal"/>
      <w:pStyle w:val="TableNumber"/>
      <w:lvlText w:val="%1"/>
      <w:lvlJc w:val="left"/>
      <w:pPr>
        <w:tabs>
          <w:tab w:val="num" w:pos="284"/>
        </w:tabs>
        <w:ind w:left="284" w:hanging="284"/>
      </w:pPr>
      <w:rPr>
        <w:rFonts w:hint="default"/>
      </w:rPr>
    </w:lvl>
    <w:lvl w:ilvl="1">
      <w:start w:val="1"/>
      <w:numFmt w:val="decimal"/>
      <w:pStyle w:val="TableNumber2"/>
      <w:lvlText w:val="%1.%2"/>
      <w:lvlJc w:val="left"/>
      <w:pPr>
        <w:tabs>
          <w:tab w:val="num" w:pos="567"/>
        </w:tabs>
        <w:ind w:left="567" w:hanging="283"/>
      </w:pPr>
      <w:rPr>
        <w:rFonts w:hint="default"/>
      </w:rPr>
    </w:lvl>
    <w:lvl w:ilvl="2">
      <w:start w:val="1"/>
      <w:numFmt w:val="lowerLetter"/>
      <w:pStyle w:val="TableNumber3"/>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5C1309"/>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FBB618C"/>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DD3188"/>
    <w:multiLevelType w:val="multilevel"/>
    <w:tmpl w:val="B1802E2A"/>
    <w:lvl w:ilvl="0">
      <w:start w:val="1"/>
      <w:numFmt w:val="decimal"/>
      <w:lvlText w:val="%1"/>
      <w:lvlJc w:val="left"/>
      <w:pPr>
        <w:tabs>
          <w:tab w:val="num" w:pos="425"/>
        </w:tabs>
        <w:ind w:left="425" w:hanging="425"/>
      </w:pPr>
    </w:lvl>
    <w:lvl w:ilvl="1">
      <w:start w:val="1"/>
      <w:numFmt w:val="decimal"/>
      <w:lvlText w:val="%1.%2"/>
      <w:lvlJc w:val="left"/>
      <w:pPr>
        <w:tabs>
          <w:tab w:val="num" w:pos="851"/>
        </w:tabs>
        <w:ind w:left="851" w:hanging="426"/>
      </w:pPr>
    </w:lvl>
    <w:lvl w:ilvl="2">
      <w:start w:val="1"/>
      <w:numFmt w:val="lowerLetter"/>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39A072AF"/>
    <w:multiLevelType w:val="singleLevel"/>
    <w:tmpl w:val="726283EC"/>
    <w:lvl w:ilvl="0">
      <w:start w:val="1"/>
      <w:numFmt w:val="decimal"/>
      <w:lvlText w:val="%1."/>
      <w:lvlJc w:val="left"/>
      <w:pPr>
        <w:tabs>
          <w:tab w:val="num" w:pos="360"/>
        </w:tabs>
        <w:ind w:left="360" w:hanging="360"/>
      </w:pPr>
    </w:lvl>
  </w:abstractNum>
  <w:abstractNum w:abstractNumId="16" w15:restartNumberingAfterBreak="0">
    <w:nsid w:val="3A3D6C26"/>
    <w:multiLevelType w:val="singleLevel"/>
    <w:tmpl w:val="9094FDE4"/>
    <w:lvl w:ilvl="0">
      <w:start w:val="1"/>
      <w:numFmt w:val="decimal"/>
      <w:lvlText w:val="%1."/>
      <w:legacy w:legacy="1" w:legacySpace="0" w:legacyIndent="283"/>
      <w:lvlJc w:val="left"/>
      <w:pPr>
        <w:ind w:left="283" w:hanging="283"/>
      </w:pPr>
    </w:lvl>
  </w:abstractNum>
  <w:abstractNum w:abstractNumId="17" w15:restartNumberingAfterBreak="0">
    <w:nsid w:val="4B7811E4"/>
    <w:multiLevelType w:val="multilevel"/>
    <w:tmpl w:val="D9E24AF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0" w:firstLine="0"/>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2410" w:hanging="708"/>
      </w:pPr>
      <w:rPr>
        <w:rFonts w:hint="default"/>
      </w:rPr>
    </w:lvl>
    <w:lvl w:ilvl="5">
      <w:start w:val="1"/>
      <w:numFmt w:val="lowerLetter"/>
      <w:lvlText w:val="(%6)"/>
      <w:lvlJc w:val="left"/>
      <w:pPr>
        <w:tabs>
          <w:tab w:val="num" w:pos="0"/>
        </w:tabs>
        <w:ind w:left="3118" w:hanging="708"/>
      </w:pPr>
      <w:rPr>
        <w:rFonts w:hint="default"/>
      </w:rPr>
    </w:lvl>
    <w:lvl w:ilvl="6">
      <w:start w:val="1"/>
      <w:numFmt w:val="lowerRoman"/>
      <w:lvlText w:val="(%7)"/>
      <w:lvlJc w:val="left"/>
      <w:pPr>
        <w:tabs>
          <w:tab w:val="num" w:pos="0"/>
        </w:tabs>
        <w:ind w:left="3826" w:hanging="708"/>
      </w:pPr>
      <w:rPr>
        <w:rFonts w:hint="default"/>
      </w:rPr>
    </w:lvl>
    <w:lvl w:ilvl="7">
      <w:start w:val="1"/>
      <w:numFmt w:val="lowerLetter"/>
      <w:lvlText w:val="(%8)"/>
      <w:lvlJc w:val="left"/>
      <w:pPr>
        <w:tabs>
          <w:tab w:val="num" w:pos="0"/>
        </w:tabs>
        <w:ind w:left="4534" w:hanging="708"/>
      </w:pPr>
      <w:rPr>
        <w:rFonts w:hint="default"/>
      </w:rPr>
    </w:lvl>
    <w:lvl w:ilvl="8">
      <w:start w:val="1"/>
      <w:numFmt w:val="lowerRoman"/>
      <w:lvlText w:val="(%9)"/>
      <w:lvlJc w:val="left"/>
      <w:pPr>
        <w:tabs>
          <w:tab w:val="num" w:pos="0"/>
        </w:tabs>
        <w:ind w:left="5242" w:hanging="708"/>
      </w:pPr>
      <w:rPr>
        <w:rFonts w:hint="default"/>
      </w:rPr>
    </w:lvl>
  </w:abstractNum>
  <w:abstractNum w:abstractNumId="18" w15:restartNumberingAfterBreak="0">
    <w:nsid w:val="508259FD"/>
    <w:multiLevelType w:val="singleLevel"/>
    <w:tmpl w:val="ECD8CBCC"/>
    <w:lvl w:ilvl="0">
      <w:start w:val="1"/>
      <w:numFmt w:val="decimal"/>
      <w:lvlText w:val="%1."/>
      <w:legacy w:legacy="1" w:legacySpace="0" w:legacyIndent="283"/>
      <w:lvlJc w:val="left"/>
      <w:pPr>
        <w:ind w:left="283" w:hanging="283"/>
      </w:pPr>
    </w:lvl>
  </w:abstractNum>
  <w:abstractNum w:abstractNumId="19" w15:restartNumberingAfterBreak="0">
    <w:nsid w:val="540753B6"/>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462BE8"/>
    <w:multiLevelType w:val="singleLevel"/>
    <w:tmpl w:val="5532E484"/>
    <w:lvl w:ilvl="0">
      <w:start w:val="1"/>
      <w:numFmt w:val="decimal"/>
      <w:lvlText w:val="%1."/>
      <w:legacy w:legacy="1" w:legacySpace="0" w:legacyIndent="283"/>
      <w:lvlJc w:val="left"/>
      <w:pPr>
        <w:ind w:left="283" w:hanging="283"/>
      </w:pPr>
    </w:lvl>
  </w:abstractNum>
  <w:abstractNum w:abstractNumId="21" w15:restartNumberingAfterBreak="0">
    <w:nsid w:val="63405100"/>
    <w:multiLevelType w:val="multilevel"/>
    <w:tmpl w:val="03EEFA36"/>
    <w:styleLink w:val="CowiTableBulletList"/>
    <w:lvl w:ilvl="0">
      <w:start w:val="1"/>
      <w:numFmt w:val="bullet"/>
      <w:pStyle w:val="TableBullet"/>
      <w:lvlText w:val="›"/>
      <w:lvlJc w:val="left"/>
      <w:pPr>
        <w:tabs>
          <w:tab w:val="num" w:pos="284"/>
        </w:tabs>
        <w:ind w:left="284" w:hanging="284"/>
      </w:pPr>
      <w:rPr>
        <w:rFonts w:hint="default"/>
        <w:color w:val="F04E23"/>
        <w:sz w:val="18"/>
      </w:rPr>
    </w:lvl>
    <w:lvl w:ilvl="1">
      <w:start w:val="1"/>
      <w:numFmt w:val="bullet"/>
      <w:pStyle w:val="TableBullet2"/>
      <w:lvlText w:val="›"/>
      <w:lvlJc w:val="left"/>
      <w:pPr>
        <w:tabs>
          <w:tab w:val="num" w:pos="567"/>
        </w:tabs>
        <w:ind w:left="567" w:hanging="283"/>
      </w:pPr>
      <w:rPr>
        <w:rFonts w:hint="default"/>
        <w:color w:val="333333"/>
      </w:rPr>
    </w:lvl>
    <w:lvl w:ilvl="2">
      <w:start w:val="1"/>
      <w:numFmt w:val="bullet"/>
      <w:pStyle w:val="TableBullet3"/>
      <w:lvlText w:val="›"/>
      <w:lvlJc w:val="left"/>
      <w:pPr>
        <w:tabs>
          <w:tab w:val="num" w:pos="851"/>
        </w:tabs>
        <w:ind w:left="851" w:hanging="284"/>
      </w:pPr>
      <w:rPr>
        <w:rFonts w:hint="default"/>
        <w:color w:val="333333"/>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4A6069A"/>
    <w:multiLevelType w:val="multilevel"/>
    <w:tmpl w:val="D2C447E2"/>
    <w:lvl w:ilvl="0">
      <w:start w:val="1"/>
      <w:numFmt w:val="decimal"/>
      <w:lvlText w:val="%1"/>
      <w:lvlJc w:val="left"/>
      <w:pPr>
        <w:tabs>
          <w:tab w:val="num" w:pos="425"/>
        </w:tabs>
        <w:ind w:left="425" w:hanging="425"/>
      </w:pPr>
    </w:lvl>
    <w:lvl w:ilvl="1">
      <w:start w:val="1"/>
      <w:numFmt w:val="decimal"/>
      <w:lvlText w:val="%1.%2"/>
      <w:lvlJc w:val="left"/>
      <w:pPr>
        <w:tabs>
          <w:tab w:val="num" w:pos="851"/>
        </w:tabs>
        <w:ind w:left="851" w:hanging="426"/>
      </w:pPr>
    </w:lvl>
    <w:lvl w:ilvl="2">
      <w:start w:val="1"/>
      <w:numFmt w:val="lowerLetter"/>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15:restartNumberingAfterBreak="0">
    <w:nsid w:val="685666B2"/>
    <w:multiLevelType w:val="multilevel"/>
    <w:tmpl w:val="91F28F0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tabs>
          <w:tab w:val="num" w:pos="0"/>
        </w:tabs>
        <w:ind w:left="2410" w:hanging="708"/>
      </w:pPr>
      <w:rPr>
        <w:rFonts w:hint="default"/>
      </w:rPr>
    </w:lvl>
    <w:lvl w:ilvl="5">
      <w:start w:val="1"/>
      <w:numFmt w:val="lowerLetter"/>
      <w:pStyle w:val="Heading6"/>
      <w:lvlText w:val="(%6)"/>
      <w:lvlJc w:val="left"/>
      <w:pPr>
        <w:tabs>
          <w:tab w:val="num" w:pos="0"/>
        </w:tabs>
        <w:ind w:left="3118" w:hanging="708"/>
      </w:pPr>
      <w:rPr>
        <w:rFonts w:hint="default"/>
      </w:rPr>
    </w:lvl>
    <w:lvl w:ilvl="6">
      <w:start w:val="1"/>
      <w:numFmt w:val="lowerRoman"/>
      <w:lvlText w:val="(%7)"/>
      <w:lvlJc w:val="left"/>
      <w:pPr>
        <w:tabs>
          <w:tab w:val="num" w:pos="0"/>
        </w:tabs>
        <w:ind w:left="3826" w:hanging="708"/>
      </w:pPr>
      <w:rPr>
        <w:rFonts w:hint="default"/>
      </w:rPr>
    </w:lvl>
    <w:lvl w:ilvl="7">
      <w:start w:val="1"/>
      <w:numFmt w:val="lowerLetter"/>
      <w:lvlText w:val="(%8)"/>
      <w:lvlJc w:val="left"/>
      <w:pPr>
        <w:tabs>
          <w:tab w:val="num" w:pos="0"/>
        </w:tabs>
        <w:ind w:left="4534" w:hanging="708"/>
      </w:pPr>
      <w:rPr>
        <w:rFonts w:hint="default"/>
      </w:rPr>
    </w:lvl>
    <w:lvl w:ilvl="8">
      <w:start w:val="1"/>
      <w:numFmt w:val="lowerRoman"/>
      <w:lvlText w:val="(%9)"/>
      <w:lvlJc w:val="left"/>
      <w:pPr>
        <w:tabs>
          <w:tab w:val="num" w:pos="0"/>
        </w:tabs>
        <w:ind w:left="5242" w:hanging="708"/>
      </w:pPr>
      <w:rPr>
        <w:rFonts w:hint="default"/>
      </w:rPr>
    </w:lvl>
  </w:abstractNum>
  <w:abstractNum w:abstractNumId="24" w15:restartNumberingAfterBreak="0">
    <w:nsid w:val="6A870E81"/>
    <w:multiLevelType w:val="singleLevel"/>
    <w:tmpl w:val="95AC9412"/>
    <w:lvl w:ilvl="0">
      <w:start w:val="1"/>
      <w:numFmt w:val="bullet"/>
      <w:lvlText w:val="-"/>
      <w:lvlJc w:val="left"/>
      <w:pPr>
        <w:tabs>
          <w:tab w:val="num" w:pos="851"/>
        </w:tabs>
        <w:ind w:left="851" w:hanging="426"/>
      </w:pPr>
      <w:rPr>
        <w:rFonts w:ascii="Times New Roman" w:hAnsi="Times New Roman" w:hint="default"/>
      </w:rPr>
    </w:lvl>
  </w:abstractNum>
  <w:abstractNum w:abstractNumId="25" w15:restartNumberingAfterBreak="0">
    <w:nsid w:val="6E016C51"/>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7BEA0B56"/>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25"/>
  </w:num>
  <w:num w:numId="3">
    <w:abstractNumId w:val="13"/>
  </w:num>
  <w:num w:numId="4">
    <w:abstractNumId w:val="26"/>
  </w:num>
  <w:num w:numId="5">
    <w:abstractNumId w:val="2"/>
  </w:num>
  <w:num w:numId="6">
    <w:abstractNumId w:val="9"/>
  </w:num>
  <w:num w:numId="7">
    <w:abstractNumId w:val="10"/>
  </w:num>
  <w:num w:numId="8">
    <w:abstractNumId w:val="9"/>
  </w:num>
  <w:num w:numId="9">
    <w:abstractNumId w:val="10"/>
  </w:num>
  <w:num w:numId="10">
    <w:abstractNumId w:val="7"/>
  </w:num>
  <w:num w:numId="11">
    <w:abstractNumId w:val="23"/>
  </w:num>
  <w:num w:numId="12">
    <w:abstractNumId w:val="21"/>
  </w:num>
  <w:num w:numId="13">
    <w:abstractNumId w:val="11"/>
  </w:num>
  <w:num w:numId="14">
    <w:abstractNumId w:val="21"/>
  </w:num>
  <w:num w:numId="15">
    <w:abstractNumId w:val="11"/>
  </w:num>
  <w:num w:numId="16">
    <w:abstractNumId w:val="4"/>
  </w:num>
  <w:num w:numId="17">
    <w:abstractNumId w:val="5"/>
    <w:lvlOverride w:ilvl="0">
      <w:lvl w:ilvl="0">
        <w:start w:val="1"/>
        <w:numFmt w:val="bullet"/>
        <w:lvlText w:val="•"/>
        <w:legacy w:legacy="1" w:legacySpace="0" w:legacyIndent="283"/>
        <w:lvlJc w:val="left"/>
        <w:pPr>
          <w:ind w:left="283" w:hanging="283"/>
        </w:pPr>
        <w:rPr>
          <w:rFonts w:ascii="Times New Roman" w:hAnsi="Times New Roman" w:hint="default"/>
          <w:sz w:val="23"/>
        </w:rPr>
      </w:lvl>
    </w:lvlOverride>
  </w:num>
  <w:num w:numId="18">
    <w:abstractNumId w:val="20"/>
  </w:num>
  <w:num w:numId="19">
    <w:abstractNumId w:val="12"/>
  </w:num>
  <w:num w:numId="20">
    <w:abstractNumId w:val="14"/>
  </w:num>
  <w:num w:numId="21">
    <w:abstractNumId w:val="14"/>
    <w:lvlOverride w:ilvl="0">
      <w:lvl w:ilvl="0">
        <w:start w:val="1"/>
        <w:numFmt w:val="decimal"/>
        <w:lvlText w:val="%1."/>
        <w:legacy w:legacy="1" w:legacySpace="0" w:legacyIndent="283"/>
        <w:lvlJc w:val="left"/>
        <w:pPr>
          <w:ind w:left="283" w:hanging="283"/>
        </w:pPr>
      </w:lvl>
    </w:lvlOverride>
  </w:num>
  <w:num w:numId="22">
    <w:abstractNumId w:val="6"/>
  </w:num>
  <w:num w:numId="23">
    <w:abstractNumId w:val="6"/>
    <w:lvlOverride w:ilvl="0">
      <w:lvl w:ilvl="0">
        <w:start w:val="1"/>
        <w:numFmt w:val="decimal"/>
        <w:lvlText w:val="%1."/>
        <w:legacy w:legacy="1" w:legacySpace="0" w:legacyIndent="283"/>
        <w:lvlJc w:val="left"/>
        <w:pPr>
          <w:ind w:left="283" w:hanging="283"/>
        </w:pPr>
      </w:lvl>
    </w:lvlOverride>
  </w:num>
  <w:num w:numId="24">
    <w:abstractNumId w:val="16"/>
  </w:num>
  <w:num w:numId="25">
    <w:abstractNumId w:val="18"/>
  </w:num>
  <w:num w:numId="26">
    <w:abstractNumId w:val="15"/>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lvl w:ilvl="0">
        <w:start w:val="1"/>
        <w:numFmt w:val="bullet"/>
        <w:lvlText w:val=""/>
        <w:legacy w:legacy="1" w:legacySpace="0" w:legacyIndent="283"/>
        <w:lvlJc w:val="left"/>
        <w:pPr>
          <w:ind w:left="708" w:hanging="283"/>
        </w:pPr>
        <w:rPr>
          <w:rFonts w:ascii="Times" w:hAnsi="Times" w:hint="default"/>
        </w:rPr>
      </w:lvl>
    </w:lvlOverride>
  </w:num>
  <w:num w:numId="30">
    <w:abstractNumId w:val="22"/>
  </w:num>
  <w:num w:numId="31">
    <w:abstractNumId w:val="24"/>
  </w:num>
  <w:num w:numId="32">
    <w:abstractNumId w:val="8"/>
  </w:num>
  <w:num w:numId="33">
    <w:abstractNumId w:val="17"/>
  </w:num>
  <w:num w:numId="34">
    <w:abstractNumId w:val="3"/>
  </w:num>
  <w:num w:numId="35">
    <w:abstractNumId w:val="1"/>
  </w:num>
  <w:num w:numId="36">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425"/>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84"/>
    <w:rsid w:val="00002E78"/>
    <w:rsid w:val="000037D3"/>
    <w:rsid w:val="00005AF9"/>
    <w:rsid w:val="00006D58"/>
    <w:rsid w:val="00015469"/>
    <w:rsid w:val="00017F5F"/>
    <w:rsid w:val="000206E4"/>
    <w:rsid w:val="0002073F"/>
    <w:rsid w:val="00020AEA"/>
    <w:rsid w:val="00033B2E"/>
    <w:rsid w:val="00033D98"/>
    <w:rsid w:val="000447E1"/>
    <w:rsid w:val="00044AE6"/>
    <w:rsid w:val="00045730"/>
    <w:rsid w:val="00047367"/>
    <w:rsid w:val="00051059"/>
    <w:rsid w:val="00053E0F"/>
    <w:rsid w:val="0006024B"/>
    <w:rsid w:val="000620F6"/>
    <w:rsid w:val="00065CDE"/>
    <w:rsid w:val="00066350"/>
    <w:rsid w:val="000663FC"/>
    <w:rsid w:val="0006718C"/>
    <w:rsid w:val="00070369"/>
    <w:rsid w:val="000708D5"/>
    <w:rsid w:val="000740C3"/>
    <w:rsid w:val="00076960"/>
    <w:rsid w:val="00080328"/>
    <w:rsid w:val="000822C6"/>
    <w:rsid w:val="0008282A"/>
    <w:rsid w:val="00082A28"/>
    <w:rsid w:val="00083EF7"/>
    <w:rsid w:val="0008493F"/>
    <w:rsid w:val="0008597A"/>
    <w:rsid w:val="00085CFE"/>
    <w:rsid w:val="00085EA6"/>
    <w:rsid w:val="00090AAF"/>
    <w:rsid w:val="00090EE7"/>
    <w:rsid w:val="00093096"/>
    <w:rsid w:val="00094508"/>
    <w:rsid w:val="000961D0"/>
    <w:rsid w:val="00097461"/>
    <w:rsid w:val="000A1581"/>
    <w:rsid w:val="000A4680"/>
    <w:rsid w:val="000B15E5"/>
    <w:rsid w:val="000B297A"/>
    <w:rsid w:val="000B329C"/>
    <w:rsid w:val="000B4850"/>
    <w:rsid w:val="000B6ED5"/>
    <w:rsid w:val="000B792D"/>
    <w:rsid w:val="000B7EAE"/>
    <w:rsid w:val="000C383F"/>
    <w:rsid w:val="000C5609"/>
    <w:rsid w:val="000C5B3C"/>
    <w:rsid w:val="000D1319"/>
    <w:rsid w:val="000D152C"/>
    <w:rsid w:val="000D6233"/>
    <w:rsid w:val="000D7A8A"/>
    <w:rsid w:val="000F048A"/>
    <w:rsid w:val="000F2089"/>
    <w:rsid w:val="000F63D8"/>
    <w:rsid w:val="000F6CF1"/>
    <w:rsid w:val="00100FA3"/>
    <w:rsid w:val="001013E6"/>
    <w:rsid w:val="00101B9B"/>
    <w:rsid w:val="00101D5A"/>
    <w:rsid w:val="00107898"/>
    <w:rsid w:val="00107993"/>
    <w:rsid w:val="0011031A"/>
    <w:rsid w:val="001104DC"/>
    <w:rsid w:val="001150F3"/>
    <w:rsid w:val="0011706B"/>
    <w:rsid w:val="00120E29"/>
    <w:rsid w:val="00122132"/>
    <w:rsid w:val="00124FC5"/>
    <w:rsid w:val="00132D16"/>
    <w:rsid w:val="0013487F"/>
    <w:rsid w:val="00140779"/>
    <w:rsid w:val="00140C99"/>
    <w:rsid w:val="00144144"/>
    <w:rsid w:val="001442D5"/>
    <w:rsid w:val="00146856"/>
    <w:rsid w:val="00150723"/>
    <w:rsid w:val="001512AA"/>
    <w:rsid w:val="001565A0"/>
    <w:rsid w:val="00157640"/>
    <w:rsid w:val="00160267"/>
    <w:rsid w:val="00161545"/>
    <w:rsid w:val="0016432C"/>
    <w:rsid w:val="0017017D"/>
    <w:rsid w:val="00170C3E"/>
    <w:rsid w:val="001722E2"/>
    <w:rsid w:val="00172A16"/>
    <w:rsid w:val="00174A5F"/>
    <w:rsid w:val="001750D6"/>
    <w:rsid w:val="001751D2"/>
    <w:rsid w:val="001752F7"/>
    <w:rsid w:val="00175B15"/>
    <w:rsid w:val="00176112"/>
    <w:rsid w:val="00176F44"/>
    <w:rsid w:val="001804A6"/>
    <w:rsid w:val="001805E7"/>
    <w:rsid w:val="00181948"/>
    <w:rsid w:val="00182E11"/>
    <w:rsid w:val="00192696"/>
    <w:rsid w:val="00195BB5"/>
    <w:rsid w:val="00195EB3"/>
    <w:rsid w:val="001A0E27"/>
    <w:rsid w:val="001A2441"/>
    <w:rsid w:val="001A7821"/>
    <w:rsid w:val="001B03B4"/>
    <w:rsid w:val="001B08B7"/>
    <w:rsid w:val="001B13AB"/>
    <w:rsid w:val="001B1DA7"/>
    <w:rsid w:val="001B2B20"/>
    <w:rsid w:val="001B3250"/>
    <w:rsid w:val="001B513B"/>
    <w:rsid w:val="001C02B4"/>
    <w:rsid w:val="001C2533"/>
    <w:rsid w:val="001C41D3"/>
    <w:rsid w:val="001C56C5"/>
    <w:rsid w:val="001C5CD5"/>
    <w:rsid w:val="001C67A0"/>
    <w:rsid w:val="001C6983"/>
    <w:rsid w:val="001D0F22"/>
    <w:rsid w:val="001D146A"/>
    <w:rsid w:val="001D4A3C"/>
    <w:rsid w:val="001E0857"/>
    <w:rsid w:val="001E0958"/>
    <w:rsid w:val="001E3102"/>
    <w:rsid w:val="001E38C2"/>
    <w:rsid w:val="001E3BBF"/>
    <w:rsid w:val="001E3FE3"/>
    <w:rsid w:val="001E4833"/>
    <w:rsid w:val="001F074B"/>
    <w:rsid w:val="001F0B5A"/>
    <w:rsid w:val="001F0B89"/>
    <w:rsid w:val="001F270F"/>
    <w:rsid w:val="001F30F3"/>
    <w:rsid w:val="001F3695"/>
    <w:rsid w:val="00202ABE"/>
    <w:rsid w:val="0020314B"/>
    <w:rsid w:val="002045E3"/>
    <w:rsid w:val="00205335"/>
    <w:rsid w:val="00210E14"/>
    <w:rsid w:val="002135AB"/>
    <w:rsid w:val="00220E19"/>
    <w:rsid w:val="00221102"/>
    <w:rsid w:val="0022216A"/>
    <w:rsid w:val="002231DE"/>
    <w:rsid w:val="002232E5"/>
    <w:rsid w:val="0022604B"/>
    <w:rsid w:val="00226F73"/>
    <w:rsid w:val="00230DF3"/>
    <w:rsid w:val="00231BA5"/>
    <w:rsid w:val="00240BF7"/>
    <w:rsid w:val="00241A15"/>
    <w:rsid w:val="002446C3"/>
    <w:rsid w:val="00246B22"/>
    <w:rsid w:val="00247E0C"/>
    <w:rsid w:val="00250600"/>
    <w:rsid w:val="00252DAF"/>
    <w:rsid w:val="00257A30"/>
    <w:rsid w:val="002605E5"/>
    <w:rsid w:val="00264696"/>
    <w:rsid w:val="002648B0"/>
    <w:rsid w:val="002657DB"/>
    <w:rsid w:val="00266952"/>
    <w:rsid w:val="00281C1E"/>
    <w:rsid w:val="0028201F"/>
    <w:rsid w:val="00282473"/>
    <w:rsid w:val="00283408"/>
    <w:rsid w:val="00285253"/>
    <w:rsid w:val="00286316"/>
    <w:rsid w:val="002863EB"/>
    <w:rsid w:val="00291568"/>
    <w:rsid w:val="00297355"/>
    <w:rsid w:val="002977DC"/>
    <w:rsid w:val="002A0E4D"/>
    <w:rsid w:val="002A441E"/>
    <w:rsid w:val="002A55EC"/>
    <w:rsid w:val="002A677D"/>
    <w:rsid w:val="002A7040"/>
    <w:rsid w:val="002B1153"/>
    <w:rsid w:val="002B1914"/>
    <w:rsid w:val="002B1E46"/>
    <w:rsid w:val="002B5664"/>
    <w:rsid w:val="002C03B4"/>
    <w:rsid w:val="002C582F"/>
    <w:rsid w:val="002C6001"/>
    <w:rsid w:val="002C68B3"/>
    <w:rsid w:val="002D084C"/>
    <w:rsid w:val="002D18DF"/>
    <w:rsid w:val="002D1986"/>
    <w:rsid w:val="002D34B0"/>
    <w:rsid w:val="002D62CA"/>
    <w:rsid w:val="002D69CE"/>
    <w:rsid w:val="002D7AD4"/>
    <w:rsid w:val="002E0396"/>
    <w:rsid w:val="002E44DC"/>
    <w:rsid w:val="002E5A80"/>
    <w:rsid w:val="002E62C4"/>
    <w:rsid w:val="002F15BF"/>
    <w:rsid w:val="002F20D9"/>
    <w:rsid w:val="002F291E"/>
    <w:rsid w:val="002F3DE8"/>
    <w:rsid w:val="002F4641"/>
    <w:rsid w:val="002F6F05"/>
    <w:rsid w:val="00302299"/>
    <w:rsid w:val="0030636A"/>
    <w:rsid w:val="00307E59"/>
    <w:rsid w:val="00310E5B"/>
    <w:rsid w:val="00312355"/>
    <w:rsid w:val="00312DF2"/>
    <w:rsid w:val="0031372A"/>
    <w:rsid w:val="0031476A"/>
    <w:rsid w:val="003156FB"/>
    <w:rsid w:val="0031679B"/>
    <w:rsid w:val="00320425"/>
    <w:rsid w:val="003231C0"/>
    <w:rsid w:val="0032333A"/>
    <w:rsid w:val="00326136"/>
    <w:rsid w:val="00327266"/>
    <w:rsid w:val="003273D2"/>
    <w:rsid w:val="00327D0C"/>
    <w:rsid w:val="00330E81"/>
    <w:rsid w:val="003324A0"/>
    <w:rsid w:val="00332D8A"/>
    <w:rsid w:val="00332F58"/>
    <w:rsid w:val="0033412F"/>
    <w:rsid w:val="00335240"/>
    <w:rsid w:val="00341201"/>
    <w:rsid w:val="00342164"/>
    <w:rsid w:val="00347208"/>
    <w:rsid w:val="00347DB2"/>
    <w:rsid w:val="00350AF4"/>
    <w:rsid w:val="003517E8"/>
    <w:rsid w:val="00351B2D"/>
    <w:rsid w:val="00351E59"/>
    <w:rsid w:val="00355463"/>
    <w:rsid w:val="0036029A"/>
    <w:rsid w:val="00361A31"/>
    <w:rsid w:val="00362039"/>
    <w:rsid w:val="0036242A"/>
    <w:rsid w:val="003626E6"/>
    <w:rsid w:val="003629E1"/>
    <w:rsid w:val="003641D0"/>
    <w:rsid w:val="00365B13"/>
    <w:rsid w:val="00366A3E"/>
    <w:rsid w:val="00371964"/>
    <w:rsid w:val="00377CA2"/>
    <w:rsid w:val="00381455"/>
    <w:rsid w:val="00381A12"/>
    <w:rsid w:val="00387C4F"/>
    <w:rsid w:val="003903FA"/>
    <w:rsid w:val="003913B5"/>
    <w:rsid w:val="0039187C"/>
    <w:rsid w:val="00392B32"/>
    <w:rsid w:val="00393BC7"/>
    <w:rsid w:val="003A01DA"/>
    <w:rsid w:val="003A02F1"/>
    <w:rsid w:val="003A0C81"/>
    <w:rsid w:val="003A1649"/>
    <w:rsid w:val="003A1972"/>
    <w:rsid w:val="003A2FD0"/>
    <w:rsid w:val="003A3B48"/>
    <w:rsid w:val="003A3BF5"/>
    <w:rsid w:val="003A6A61"/>
    <w:rsid w:val="003A784A"/>
    <w:rsid w:val="003A7D45"/>
    <w:rsid w:val="003B05AC"/>
    <w:rsid w:val="003B1210"/>
    <w:rsid w:val="003B2FB4"/>
    <w:rsid w:val="003B3502"/>
    <w:rsid w:val="003C03D6"/>
    <w:rsid w:val="003C1B8D"/>
    <w:rsid w:val="003C1CCF"/>
    <w:rsid w:val="003C3D04"/>
    <w:rsid w:val="003C710D"/>
    <w:rsid w:val="003C742C"/>
    <w:rsid w:val="003C7C2B"/>
    <w:rsid w:val="003D00C8"/>
    <w:rsid w:val="003D71B1"/>
    <w:rsid w:val="003E2DD3"/>
    <w:rsid w:val="003E3655"/>
    <w:rsid w:val="003E4513"/>
    <w:rsid w:val="003E5742"/>
    <w:rsid w:val="003E71BE"/>
    <w:rsid w:val="003E722E"/>
    <w:rsid w:val="003F2713"/>
    <w:rsid w:val="003F312B"/>
    <w:rsid w:val="003F3D3A"/>
    <w:rsid w:val="003F3E2C"/>
    <w:rsid w:val="003F4BC1"/>
    <w:rsid w:val="003F6F6F"/>
    <w:rsid w:val="004006CD"/>
    <w:rsid w:val="0040179D"/>
    <w:rsid w:val="00401D91"/>
    <w:rsid w:val="00402D04"/>
    <w:rsid w:val="00403135"/>
    <w:rsid w:val="0040396C"/>
    <w:rsid w:val="00404D1F"/>
    <w:rsid w:val="004072B3"/>
    <w:rsid w:val="00412A43"/>
    <w:rsid w:val="00413009"/>
    <w:rsid w:val="00414CCE"/>
    <w:rsid w:val="00420344"/>
    <w:rsid w:val="00421ED9"/>
    <w:rsid w:val="00422069"/>
    <w:rsid w:val="004257E5"/>
    <w:rsid w:val="00426937"/>
    <w:rsid w:val="0042786B"/>
    <w:rsid w:val="00427BF7"/>
    <w:rsid w:val="00435BA8"/>
    <w:rsid w:val="0043685C"/>
    <w:rsid w:val="00441B2B"/>
    <w:rsid w:val="0044471B"/>
    <w:rsid w:val="004473EB"/>
    <w:rsid w:val="0044765F"/>
    <w:rsid w:val="00450B29"/>
    <w:rsid w:val="004542DB"/>
    <w:rsid w:val="00454996"/>
    <w:rsid w:val="0045581E"/>
    <w:rsid w:val="00460DAC"/>
    <w:rsid w:val="00462B3A"/>
    <w:rsid w:val="00462C1D"/>
    <w:rsid w:val="00464BD8"/>
    <w:rsid w:val="0046657C"/>
    <w:rsid w:val="0046775B"/>
    <w:rsid w:val="004725A8"/>
    <w:rsid w:val="00476EB0"/>
    <w:rsid w:val="004814E5"/>
    <w:rsid w:val="00483891"/>
    <w:rsid w:val="00485565"/>
    <w:rsid w:val="004875D1"/>
    <w:rsid w:val="00487C0E"/>
    <w:rsid w:val="0049152F"/>
    <w:rsid w:val="004919AA"/>
    <w:rsid w:val="00491ECE"/>
    <w:rsid w:val="0049359E"/>
    <w:rsid w:val="004965F1"/>
    <w:rsid w:val="00497264"/>
    <w:rsid w:val="00497761"/>
    <w:rsid w:val="004A0203"/>
    <w:rsid w:val="004A3DCC"/>
    <w:rsid w:val="004A3E0C"/>
    <w:rsid w:val="004A413C"/>
    <w:rsid w:val="004A73C1"/>
    <w:rsid w:val="004B1283"/>
    <w:rsid w:val="004B2F40"/>
    <w:rsid w:val="004B587A"/>
    <w:rsid w:val="004C0434"/>
    <w:rsid w:val="004C1B9F"/>
    <w:rsid w:val="004C735B"/>
    <w:rsid w:val="004C7B4E"/>
    <w:rsid w:val="004D0EB6"/>
    <w:rsid w:val="004D14A0"/>
    <w:rsid w:val="004D2BA4"/>
    <w:rsid w:val="004D2FCC"/>
    <w:rsid w:val="004E0030"/>
    <w:rsid w:val="004F00E6"/>
    <w:rsid w:val="004F4724"/>
    <w:rsid w:val="004F7D32"/>
    <w:rsid w:val="00500A61"/>
    <w:rsid w:val="005023D3"/>
    <w:rsid w:val="005043C0"/>
    <w:rsid w:val="00504E71"/>
    <w:rsid w:val="005103CF"/>
    <w:rsid w:val="005132DA"/>
    <w:rsid w:val="005135C0"/>
    <w:rsid w:val="005138A7"/>
    <w:rsid w:val="00516D9E"/>
    <w:rsid w:val="00516E41"/>
    <w:rsid w:val="0051787D"/>
    <w:rsid w:val="00523A66"/>
    <w:rsid w:val="00524494"/>
    <w:rsid w:val="005245DE"/>
    <w:rsid w:val="0052663A"/>
    <w:rsid w:val="00530FF5"/>
    <w:rsid w:val="005329BC"/>
    <w:rsid w:val="00534D57"/>
    <w:rsid w:val="00535D15"/>
    <w:rsid w:val="00536458"/>
    <w:rsid w:val="0054013B"/>
    <w:rsid w:val="005437CC"/>
    <w:rsid w:val="005445C5"/>
    <w:rsid w:val="00550C63"/>
    <w:rsid w:val="005518B6"/>
    <w:rsid w:val="0055226C"/>
    <w:rsid w:val="00552AA8"/>
    <w:rsid w:val="00552E65"/>
    <w:rsid w:val="00554FEF"/>
    <w:rsid w:val="005553B9"/>
    <w:rsid w:val="00555DB2"/>
    <w:rsid w:val="005561CF"/>
    <w:rsid w:val="00556B9A"/>
    <w:rsid w:val="005577AD"/>
    <w:rsid w:val="00557A65"/>
    <w:rsid w:val="00557EDB"/>
    <w:rsid w:val="0056693B"/>
    <w:rsid w:val="005708D5"/>
    <w:rsid w:val="00571CB3"/>
    <w:rsid w:val="00572688"/>
    <w:rsid w:val="005754B0"/>
    <w:rsid w:val="00577C81"/>
    <w:rsid w:val="00577C89"/>
    <w:rsid w:val="0058176F"/>
    <w:rsid w:val="00582821"/>
    <w:rsid w:val="00584006"/>
    <w:rsid w:val="005846B6"/>
    <w:rsid w:val="00584B7D"/>
    <w:rsid w:val="00590118"/>
    <w:rsid w:val="0059039A"/>
    <w:rsid w:val="005920FE"/>
    <w:rsid w:val="005960DA"/>
    <w:rsid w:val="005A2305"/>
    <w:rsid w:val="005A75CA"/>
    <w:rsid w:val="005B08FE"/>
    <w:rsid w:val="005B36D4"/>
    <w:rsid w:val="005B4A64"/>
    <w:rsid w:val="005C5A5A"/>
    <w:rsid w:val="005D02F5"/>
    <w:rsid w:val="005D2E50"/>
    <w:rsid w:val="005D41D5"/>
    <w:rsid w:val="005D48ED"/>
    <w:rsid w:val="005D4BE7"/>
    <w:rsid w:val="005D57E6"/>
    <w:rsid w:val="005E1DFB"/>
    <w:rsid w:val="005E38D5"/>
    <w:rsid w:val="005E68AB"/>
    <w:rsid w:val="005F1280"/>
    <w:rsid w:val="005F3581"/>
    <w:rsid w:val="005F3F8B"/>
    <w:rsid w:val="005F555F"/>
    <w:rsid w:val="005F5965"/>
    <w:rsid w:val="005F6694"/>
    <w:rsid w:val="005F66BA"/>
    <w:rsid w:val="005F6B92"/>
    <w:rsid w:val="005F7C79"/>
    <w:rsid w:val="005F7DD5"/>
    <w:rsid w:val="006017D2"/>
    <w:rsid w:val="006059EE"/>
    <w:rsid w:val="00606B6E"/>
    <w:rsid w:val="00607B10"/>
    <w:rsid w:val="0061070D"/>
    <w:rsid w:val="006134A1"/>
    <w:rsid w:val="00613F6F"/>
    <w:rsid w:val="00615610"/>
    <w:rsid w:val="00621BD7"/>
    <w:rsid w:val="006220CD"/>
    <w:rsid w:val="00624773"/>
    <w:rsid w:val="0062780F"/>
    <w:rsid w:val="0063056D"/>
    <w:rsid w:val="00631009"/>
    <w:rsid w:val="00641CCA"/>
    <w:rsid w:val="00643DEF"/>
    <w:rsid w:val="00644797"/>
    <w:rsid w:val="0064552A"/>
    <w:rsid w:val="006473AF"/>
    <w:rsid w:val="00647F45"/>
    <w:rsid w:val="00650267"/>
    <w:rsid w:val="00652D0A"/>
    <w:rsid w:val="0065333A"/>
    <w:rsid w:val="0065780F"/>
    <w:rsid w:val="00661691"/>
    <w:rsid w:val="00661BE1"/>
    <w:rsid w:val="006624E3"/>
    <w:rsid w:val="00670EE2"/>
    <w:rsid w:val="00671986"/>
    <w:rsid w:val="006727A6"/>
    <w:rsid w:val="0067504A"/>
    <w:rsid w:val="0068100A"/>
    <w:rsid w:val="0068151A"/>
    <w:rsid w:val="0068205F"/>
    <w:rsid w:val="00682F19"/>
    <w:rsid w:val="006830E8"/>
    <w:rsid w:val="006900FE"/>
    <w:rsid w:val="00693B93"/>
    <w:rsid w:val="00695BC4"/>
    <w:rsid w:val="006961D5"/>
    <w:rsid w:val="0069679A"/>
    <w:rsid w:val="006968A0"/>
    <w:rsid w:val="006975A2"/>
    <w:rsid w:val="00697B0D"/>
    <w:rsid w:val="006A2F8E"/>
    <w:rsid w:val="006A4700"/>
    <w:rsid w:val="006A587C"/>
    <w:rsid w:val="006A7824"/>
    <w:rsid w:val="006B0F30"/>
    <w:rsid w:val="006B15E2"/>
    <w:rsid w:val="006B3351"/>
    <w:rsid w:val="006B659A"/>
    <w:rsid w:val="006B6A7F"/>
    <w:rsid w:val="006C03B6"/>
    <w:rsid w:val="006C5915"/>
    <w:rsid w:val="006C5F02"/>
    <w:rsid w:val="006C6785"/>
    <w:rsid w:val="006C68F1"/>
    <w:rsid w:val="006D1A42"/>
    <w:rsid w:val="006D2FE5"/>
    <w:rsid w:val="006D4F94"/>
    <w:rsid w:val="006D5B3A"/>
    <w:rsid w:val="006D696B"/>
    <w:rsid w:val="006E0369"/>
    <w:rsid w:val="006E0991"/>
    <w:rsid w:val="006E683E"/>
    <w:rsid w:val="006F17E8"/>
    <w:rsid w:val="007003C5"/>
    <w:rsid w:val="00700DAB"/>
    <w:rsid w:val="0070198C"/>
    <w:rsid w:val="00702402"/>
    <w:rsid w:val="007032EC"/>
    <w:rsid w:val="00705455"/>
    <w:rsid w:val="0070632A"/>
    <w:rsid w:val="00707E93"/>
    <w:rsid w:val="00710524"/>
    <w:rsid w:val="00711056"/>
    <w:rsid w:val="00711890"/>
    <w:rsid w:val="00714462"/>
    <w:rsid w:val="007203B3"/>
    <w:rsid w:val="007219D1"/>
    <w:rsid w:val="00721F8C"/>
    <w:rsid w:val="007220A4"/>
    <w:rsid w:val="00722B3D"/>
    <w:rsid w:val="00723D48"/>
    <w:rsid w:val="00725574"/>
    <w:rsid w:val="007317DB"/>
    <w:rsid w:val="00735927"/>
    <w:rsid w:val="00735D66"/>
    <w:rsid w:val="00736979"/>
    <w:rsid w:val="00737530"/>
    <w:rsid w:val="00737D35"/>
    <w:rsid w:val="0074002D"/>
    <w:rsid w:val="00740ED7"/>
    <w:rsid w:val="007413DA"/>
    <w:rsid w:val="00743B0D"/>
    <w:rsid w:val="00745AF5"/>
    <w:rsid w:val="00746131"/>
    <w:rsid w:val="00746C34"/>
    <w:rsid w:val="00747880"/>
    <w:rsid w:val="00747931"/>
    <w:rsid w:val="00753E49"/>
    <w:rsid w:val="00753F09"/>
    <w:rsid w:val="00757FC1"/>
    <w:rsid w:val="00763A54"/>
    <w:rsid w:val="0078046C"/>
    <w:rsid w:val="00780898"/>
    <w:rsid w:val="00782D51"/>
    <w:rsid w:val="00783140"/>
    <w:rsid w:val="0079238F"/>
    <w:rsid w:val="00794398"/>
    <w:rsid w:val="00794AFF"/>
    <w:rsid w:val="00794DA9"/>
    <w:rsid w:val="00794EA7"/>
    <w:rsid w:val="00795D79"/>
    <w:rsid w:val="007A1425"/>
    <w:rsid w:val="007A1F2F"/>
    <w:rsid w:val="007A3B6D"/>
    <w:rsid w:val="007A4C2B"/>
    <w:rsid w:val="007A68B2"/>
    <w:rsid w:val="007A70E2"/>
    <w:rsid w:val="007B1094"/>
    <w:rsid w:val="007B1271"/>
    <w:rsid w:val="007B4421"/>
    <w:rsid w:val="007B4FEB"/>
    <w:rsid w:val="007B59E1"/>
    <w:rsid w:val="007B5A55"/>
    <w:rsid w:val="007B6233"/>
    <w:rsid w:val="007C3F33"/>
    <w:rsid w:val="007C5BB0"/>
    <w:rsid w:val="007C71FC"/>
    <w:rsid w:val="007C74FD"/>
    <w:rsid w:val="007E0289"/>
    <w:rsid w:val="007E03C0"/>
    <w:rsid w:val="007E2E76"/>
    <w:rsid w:val="007E38D2"/>
    <w:rsid w:val="007F36D4"/>
    <w:rsid w:val="007F6828"/>
    <w:rsid w:val="007F69D7"/>
    <w:rsid w:val="007F77F7"/>
    <w:rsid w:val="007F7AA8"/>
    <w:rsid w:val="0080118E"/>
    <w:rsid w:val="00802748"/>
    <w:rsid w:val="00802B7A"/>
    <w:rsid w:val="00805E15"/>
    <w:rsid w:val="00807316"/>
    <w:rsid w:val="00810C79"/>
    <w:rsid w:val="00814D1F"/>
    <w:rsid w:val="00815489"/>
    <w:rsid w:val="008161BA"/>
    <w:rsid w:val="00816768"/>
    <w:rsid w:val="008205D8"/>
    <w:rsid w:val="00821CE5"/>
    <w:rsid w:val="00831306"/>
    <w:rsid w:val="00831859"/>
    <w:rsid w:val="00836898"/>
    <w:rsid w:val="00836960"/>
    <w:rsid w:val="0084008F"/>
    <w:rsid w:val="00841EDE"/>
    <w:rsid w:val="008434D5"/>
    <w:rsid w:val="0084692E"/>
    <w:rsid w:val="00851849"/>
    <w:rsid w:val="00851919"/>
    <w:rsid w:val="00851ADD"/>
    <w:rsid w:val="0085302F"/>
    <w:rsid w:val="00853F43"/>
    <w:rsid w:val="008553AF"/>
    <w:rsid w:val="008559DD"/>
    <w:rsid w:val="00856D35"/>
    <w:rsid w:val="00860451"/>
    <w:rsid w:val="00862B38"/>
    <w:rsid w:val="00865325"/>
    <w:rsid w:val="00865734"/>
    <w:rsid w:val="008657BE"/>
    <w:rsid w:val="00871564"/>
    <w:rsid w:val="00871668"/>
    <w:rsid w:val="0087326F"/>
    <w:rsid w:val="00873A51"/>
    <w:rsid w:val="00874335"/>
    <w:rsid w:val="008751A3"/>
    <w:rsid w:val="00877147"/>
    <w:rsid w:val="008804F6"/>
    <w:rsid w:val="008809EF"/>
    <w:rsid w:val="00881936"/>
    <w:rsid w:val="00881F93"/>
    <w:rsid w:val="00882D22"/>
    <w:rsid w:val="00887859"/>
    <w:rsid w:val="008905F4"/>
    <w:rsid w:val="00891444"/>
    <w:rsid w:val="00891A64"/>
    <w:rsid w:val="00891B53"/>
    <w:rsid w:val="0089379B"/>
    <w:rsid w:val="008951C3"/>
    <w:rsid w:val="008974A4"/>
    <w:rsid w:val="008A07C3"/>
    <w:rsid w:val="008A0E77"/>
    <w:rsid w:val="008A20F6"/>
    <w:rsid w:val="008A2369"/>
    <w:rsid w:val="008A691B"/>
    <w:rsid w:val="008B0858"/>
    <w:rsid w:val="008B0BDB"/>
    <w:rsid w:val="008B1052"/>
    <w:rsid w:val="008B41E8"/>
    <w:rsid w:val="008B5461"/>
    <w:rsid w:val="008B5518"/>
    <w:rsid w:val="008B5829"/>
    <w:rsid w:val="008C6674"/>
    <w:rsid w:val="008C795F"/>
    <w:rsid w:val="008C7FE7"/>
    <w:rsid w:val="008D0840"/>
    <w:rsid w:val="008D3B39"/>
    <w:rsid w:val="008D4558"/>
    <w:rsid w:val="008D5213"/>
    <w:rsid w:val="008D6543"/>
    <w:rsid w:val="008E4222"/>
    <w:rsid w:val="008E4811"/>
    <w:rsid w:val="008E4B27"/>
    <w:rsid w:val="008E6898"/>
    <w:rsid w:val="008F080C"/>
    <w:rsid w:val="008F13FD"/>
    <w:rsid w:val="008F4495"/>
    <w:rsid w:val="008F6AF4"/>
    <w:rsid w:val="0090205E"/>
    <w:rsid w:val="009036B2"/>
    <w:rsid w:val="0090409F"/>
    <w:rsid w:val="009045DF"/>
    <w:rsid w:val="00904E32"/>
    <w:rsid w:val="00905A4D"/>
    <w:rsid w:val="009109D4"/>
    <w:rsid w:val="00911C01"/>
    <w:rsid w:val="00912CD9"/>
    <w:rsid w:val="0091507C"/>
    <w:rsid w:val="009176F2"/>
    <w:rsid w:val="00921392"/>
    <w:rsid w:val="009235A9"/>
    <w:rsid w:val="00923F58"/>
    <w:rsid w:val="009245C0"/>
    <w:rsid w:val="00925F2B"/>
    <w:rsid w:val="00926996"/>
    <w:rsid w:val="009273E7"/>
    <w:rsid w:val="009325DB"/>
    <w:rsid w:val="00933DAF"/>
    <w:rsid w:val="00934AB7"/>
    <w:rsid w:val="009363CD"/>
    <w:rsid w:val="009428E6"/>
    <w:rsid w:val="00943566"/>
    <w:rsid w:val="00945EAD"/>
    <w:rsid w:val="0094758E"/>
    <w:rsid w:val="00947EA5"/>
    <w:rsid w:val="0095072C"/>
    <w:rsid w:val="00963794"/>
    <w:rsid w:val="00965E8A"/>
    <w:rsid w:val="00967ABA"/>
    <w:rsid w:val="00973645"/>
    <w:rsid w:val="00973E96"/>
    <w:rsid w:val="00976D6A"/>
    <w:rsid w:val="009813B8"/>
    <w:rsid w:val="0098148A"/>
    <w:rsid w:val="0098197C"/>
    <w:rsid w:val="009827EE"/>
    <w:rsid w:val="00984BA1"/>
    <w:rsid w:val="009857D9"/>
    <w:rsid w:val="00990341"/>
    <w:rsid w:val="009951E5"/>
    <w:rsid w:val="00996C15"/>
    <w:rsid w:val="00997E6B"/>
    <w:rsid w:val="009A22F5"/>
    <w:rsid w:val="009A333C"/>
    <w:rsid w:val="009A42BC"/>
    <w:rsid w:val="009A5203"/>
    <w:rsid w:val="009A5537"/>
    <w:rsid w:val="009A55AF"/>
    <w:rsid w:val="009A55D6"/>
    <w:rsid w:val="009A595D"/>
    <w:rsid w:val="009A5F9B"/>
    <w:rsid w:val="009B1A75"/>
    <w:rsid w:val="009B46FB"/>
    <w:rsid w:val="009C012E"/>
    <w:rsid w:val="009C0481"/>
    <w:rsid w:val="009C2B18"/>
    <w:rsid w:val="009C2D67"/>
    <w:rsid w:val="009C620A"/>
    <w:rsid w:val="009C65CD"/>
    <w:rsid w:val="009C7E99"/>
    <w:rsid w:val="009D1971"/>
    <w:rsid w:val="009D414A"/>
    <w:rsid w:val="009D4F90"/>
    <w:rsid w:val="009D6952"/>
    <w:rsid w:val="009E0B09"/>
    <w:rsid w:val="009E18E2"/>
    <w:rsid w:val="009E4FAE"/>
    <w:rsid w:val="009E6A6D"/>
    <w:rsid w:val="009E6C55"/>
    <w:rsid w:val="009F099A"/>
    <w:rsid w:val="009F7AC4"/>
    <w:rsid w:val="00A02667"/>
    <w:rsid w:val="00A03473"/>
    <w:rsid w:val="00A13B39"/>
    <w:rsid w:val="00A15F49"/>
    <w:rsid w:val="00A1662F"/>
    <w:rsid w:val="00A21919"/>
    <w:rsid w:val="00A21C92"/>
    <w:rsid w:val="00A24DAE"/>
    <w:rsid w:val="00A25727"/>
    <w:rsid w:val="00A261BA"/>
    <w:rsid w:val="00A32687"/>
    <w:rsid w:val="00A329AC"/>
    <w:rsid w:val="00A3328A"/>
    <w:rsid w:val="00A43D56"/>
    <w:rsid w:val="00A547D2"/>
    <w:rsid w:val="00A5788C"/>
    <w:rsid w:val="00A62088"/>
    <w:rsid w:val="00A64F5D"/>
    <w:rsid w:val="00A66F18"/>
    <w:rsid w:val="00A676BE"/>
    <w:rsid w:val="00A67793"/>
    <w:rsid w:val="00A7108D"/>
    <w:rsid w:val="00A74402"/>
    <w:rsid w:val="00A75091"/>
    <w:rsid w:val="00A7566A"/>
    <w:rsid w:val="00A77BF8"/>
    <w:rsid w:val="00A809E5"/>
    <w:rsid w:val="00A81D06"/>
    <w:rsid w:val="00A82237"/>
    <w:rsid w:val="00A859FF"/>
    <w:rsid w:val="00A872E9"/>
    <w:rsid w:val="00A87E32"/>
    <w:rsid w:val="00A90761"/>
    <w:rsid w:val="00A91BCF"/>
    <w:rsid w:val="00A96445"/>
    <w:rsid w:val="00A96E70"/>
    <w:rsid w:val="00A97B78"/>
    <w:rsid w:val="00AA2848"/>
    <w:rsid w:val="00AA3B3D"/>
    <w:rsid w:val="00AA3E8A"/>
    <w:rsid w:val="00AA5D1E"/>
    <w:rsid w:val="00AA71C1"/>
    <w:rsid w:val="00AB1BA5"/>
    <w:rsid w:val="00AB294A"/>
    <w:rsid w:val="00AB401B"/>
    <w:rsid w:val="00AB56B8"/>
    <w:rsid w:val="00AB56F1"/>
    <w:rsid w:val="00AC0EDB"/>
    <w:rsid w:val="00AC2136"/>
    <w:rsid w:val="00AC21EC"/>
    <w:rsid w:val="00AC2625"/>
    <w:rsid w:val="00AC3271"/>
    <w:rsid w:val="00AC53F0"/>
    <w:rsid w:val="00AD6925"/>
    <w:rsid w:val="00AE1294"/>
    <w:rsid w:val="00AE290E"/>
    <w:rsid w:val="00AE3697"/>
    <w:rsid w:val="00AE4D02"/>
    <w:rsid w:val="00AE505B"/>
    <w:rsid w:val="00AE597D"/>
    <w:rsid w:val="00AE733E"/>
    <w:rsid w:val="00AE75FB"/>
    <w:rsid w:val="00AF0AD2"/>
    <w:rsid w:val="00AF2D99"/>
    <w:rsid w:val="00AF2E8D"/>
    <w:rsid w:val="00AF520A"/>
    <w:rsid w:val="00AF7932"/>
    <w:rsid w:val="00AF7F96"/>
    <w:rsid w:val="00B00882"/>
    <w:rsid w:val="00B0198C"/>
    <w:rsid w:val="00B02AEB"/>
    <w:rsid w:val="00B03C18"/>
    <w:rsid w:val="00B04994"/>
    <w:rsid w:val="00B04E39"/>
    <w:rsid w:val="00B073DA"/>
    <w:rsid w:val="00B1119C"/>
    <w:rsid w:val="00B13B2C"/>
    <w:rsid w:val="00B13CA7"/>
    <w:rsid w:val="00B14349"/>
    <w:rsid w:val="00B14DD2"/>
    <w:rsid w:val="00B179A2"/>
    <w:rsid w:val="00B2052C"/>
    <w:rsid w:val="00B215B9"/>
    <w:rsid w:val="00B24424"/>
    <w:rsid w:val="00B24F09"/>
    <w:rsid w:val="00B25195"/>
    <w:rsid w:val="00B27D6D"/>
    <w:rsid w:val="00B300ED"/>
    <w:rsid w:val="00B3282B"/>
    <w:rsid w:val="00B419F8"/>
    <w:rsid w:val="00B43ECF"/>
    <w:rsid w:val="00B4506B"/>
    <w:rsid w:val="00B4688D"/>
    <w:rsid w:val="00B47A08"/>
    <w:rsid w:val="00B5468B"/>
    <w:rsid w:val="00B54714"/>
    <w:rsid w:val="00B55486"/>
    <w:rsid w:val="00B62F20"/>
    <w:rsid w:val="00B64EB3"/>
    <w:rsid w:val="00B65A20"/>
    <w:rsid w:val="00B7361D"/>
    <w:rsid w:val="00B74384"/>
    <w:rsid w:val="00B7449F"/>
    <w:rsid w:val="00B74955"/>
    <w:rsid w:val="00B76E54"/>
    <w:rsid w:val="00B77E1F"/>
    <w:rsid w:val="00B86EC2"/>
    <w:rsid w:val="00B905B8"/>
    <w:rsid w:val="00B916A4"/>
    <w:rsid w:val="00B91F30"/>
    <w:rsid w:val="00B92C10"/>
    <w:rsid w:val="00B940F8"/>
    <w:rsid w:val="00B97F37"/>
    <w:rsid w:val="00BA0881"/>
    <w:rsid w:val="00BA28AC"/>
    <w:rsid w:val="00BB05B2"/>
    <w:rsid w:val="00BB0AB3"/>
    <w:rsid w:val="00BB6C74"/>
    <w:rsid w:val="00BC25D2"/>
    <w:rsid w:val="00BC7F70"/>
    <w:rsid w:val="00BD10F7"/>
    <w:rsid w:val="00BD28F1"/>
    <w:rsid w:val="00BE091E"/>
    <w:rsid w:val="00BE5194"/>
    <w:rsid w:val="00BE6BB5"/>
    <w:rsid w:val="00BF1252"/>
    <w:rsid w:val="00BF20EA"/>
    <w:rsid w:val="00BF2108"/>
    <w:rsid w:val="00BF4FE6"/>
    <w:rsid w:val="00BF5263"/>
    <w:rsid w:val="00BF538E"/>
    <w:rsid w:val="00C07221"/>
    <w:rsid w:val="00C079C8"/>
    <w:rsid w:val="00C12B31"/>
    <w:rsid w:val="00C1349C"/>
    <w:rsid w:val="00C138F7"/>
    <w:rsid w:val="00C15819"/>
    <w:rsid w:val="00C17FCC"/>
    <w:rsid w:val="00C23226"/>
    <w:rsid w:val="00C25F22"/>
    <w:rsid w:val="00C2625D"/>
    <w:rsid w:val="00C4195B"/>
    <w:rsid w:val="00C50709"/>
    <w:rsid w:val="00C50AA4"/>
    <w:rsid w:val="00C50D3C"/>
    <w:rsid w:val="00C51484"/>
    <w:rsid w:val="00C5286F"/>
    <w:rsid w:val="00C54BD1"/>
    <w:rsid w:val="00C5614B"/>
    <w:rsid w:val="00C57431"/>
    <w:rsid w:val="00C57E58"/>
    <w:rsid w:val="00C603DD"/>
    <w:rsid w:val="00C6183E"/>
    <w:rsid w:val="00C702CE"/>
    <w:rsid w:val="00C7059A"/>
    <w:rsid w:val="00C71090"/>
    <w:rsid w:val="00C727C1"/>
    <w:rsid w:val="00C74EDF"/>
    <w:rsid w:val="00C773BC"/>
    <w:rsid w:val="00C777E7"/>
    <w:rsid w:val="00C85AE9"/>
    <w:rsid w:val="00C85FCB"/>
    <w:rsid w:val="00C90725"/>
    <w:rsid w:val="00C90E69"/>
    <w:rsid w:val="00C910C5"/>
    <w:rsid w:val="00C9149D"/>
    <w:rsid w:val="00C91AF2"/>
    <w:rsid w:val="00C93479"/>
    <w:rsid w:val="00C936C3"/>
    <w:rsid w:val="00C93966"/>
    <w:rsid w:val="00C94093"/>
    <w:rsid w:val="00C95A7B"/>
    <w:rsid w:val="00CA05F8"/>
    <w:rsid w:val="00CA0D2A"/>
    <w:rsid w:val="00CA2161"/>
    <w:rsid w:val="00CA2EA6"/>
    <w:rsid w:val="00CA31A6"/>
    <w:rsid w:val="00CA3D7A"/>
    <w:rsid w:val="00CA441A"/>
    <w:rsid w:val="00CA7568"/>
    <w:rsid w:val="00CA7AE7"/>
    <w:rsid w:val="00CB0540"/>
    <w:rsid w:val="00CB0A78"/>
    <w:rsid w:val="00CB3803"/>
    <w:rsid w:val="00CB406D"/>
    <w:rsid w:val="00CB606A"/>
    <w:rsid w:val="00CC0165"/>
    <w:rsid w:val="00CC5B67"/>
    <w:rsid w:val="00CC5D7D"/>
    <w:rsid w:val="00CD0920"/>
    <w:rsid w:val="00CD1EB0"/>
    <w:rsid w:val="00CD3803"/>
    <w:rsid w:val="00CD4175"/>
    <w:rsid w:val="00CD4386"/>
    <w:rsid w:val="00CD48D8"/>
    <w:rsid w:val="00CD5032"/>
    <w:rsid w:val="00CD57B6"/>
    <w:rsid w:val="00CD77E6"/>
    <w:rsid w:val="00CE40AA"/>
    <w:rsid w:val="00CE4469"/>
    <w:rsid w:val="00CE7F30"/>
    <w:rsid w:val="00CF1911"/>
    <w:rsid w:val="00CF29FD"/>
    <w:rsid w:val="00CF2A7B"/>
    <w:rsid w:val="00CF2BD1"/>
    <w:rsid w:val="00CF32B8"/>
    <w:rsid w:val="00CF6D54"/>
    <w:rsid w:val="00CF78C8"/>
    <w:rsid w:val="00D02348"/>
    <w:rsid w:val="00D02963"/>
    <w:rsid w:val="00D03A0E"/>
    <w:rsid w:val="00D05D41"/>
    <w:rsid w:val="00D06073"/>
    <w:rsid w:val="00D07672"/>
    <w:rsid w:val="00D100A9"/>
    <w:rsid w:val="00D11A73"/>
    <w:rsid w:val="00D11C58"/>
    <w:rsid w:val="00D12B84"/>
    <w:rsid w:val="00D12E28"/>
    <w:rsid w:val="00D12F49"/>
    <w:rsid w:val="00D13B82"/>
    <w:rsid w:val="00D1430C"/>
    <w:rsid w:val="00D14571"/>
    <w:rsid w:val="00D1490A"/>
    <w:rsid w:val="00D15B73"/>
    <w:rsid w:val="00D205BC"/>
    <w:rsid w:val="00D22D13"/>
    <w:rsid w:val="00D273C1"/>
    <w:rsid w:val="00D316E9"/>
    <w:rsid w:val="00D31A27"/>
    <w:rsid w:val="00D33D2E"/>
    <w:rsid w:val="00D33DF6"/>
    <w:rsid w:val="00D34050"/>
    <w:rsid w:val="00D36E1C"/>
    <w:rsid w:val="00D37BF6"/>
    <w:rsid w:val="00D46B6A"/>
    <w:rsid w:val="00D4705B"/>
    <w:rsid w:val="00D51B6D"/>
    <w:rsid w:val="00D51C15"/>
    <w:rsid w:val="00D52B47"/>
    <w:rsid w:val="00D539A0"/>
    <w:rsid w:val="00D53F6C"/>
    <w:rsid w:val="00D56A41"/>
    <w:rsid w:val="00D57D27"/>
    <w:rsid w:val="00D60BFA"/>
    <w:rsid w:val="00D6322B"/>
    <w:rsid w:val="00D6473C"/>
    <w:rsid w:val="00D668ED"/>
    <w:rsid w:val="00D71EAB"/>
    <w:rsid w:val="00D727CE"/>
    <w:rsid w:val="00D75679"/>
    <w:rsid w:val="00D75C8D"/>
    <w:rsid w:val="00D75D9A"/>
    <w:rsid w:val="00D7649F"/>
    <w:rsid w:val="00D77A68"/>
    <w:rsid w:val="00D81E6C"/>
    <w:rsid w:val="00D83540"/>
    <w:rsid w:val="00D83F8D"/>
    <w:rsid w:val="00D8515F"/>
    <w:rsid w:val="00D85994"/>
    <w:rsid w:val="00D8730D"/>
    <w:rsid w:val="00D90627"/>
    <w:rsid w:val="00D917B4"/>
    <w:rsid w:val="00D97192"/>
    <w:rsid w:val="00DA1E99"/>
    <w:rsid w:val="00DA2D5D"/>
    <w:rsid w:val="00DA5772"/>
    <w:rsid w:val="00DA5884"/>
    <w:rsid w:val="00DA77C7"/>
    <w:rsid w:val="00DB0C13"/>
    <w:rsid w:val="00DB1774"/>
    <w:rsid w:val="00DB1F8A"/>
    <w:rsid w:val="00DB1FFD"/>
    <w:rsid w:val="00DB4324"/>
    <w:rsid w:val="00DB45A1"/>
    <w:rsid w:val="00DB7683"/>
    <w:rsid w:val="00DC0EF1"/>
    <w:rsid w:val="00DC17F8"/>
    <w:rsid w:val="00DC346C"/>
    <w:rsid w:val="00DC4353"/>
    <w:rsid w:val="00DC4779"/>
    <w:rsid w:val="00DC7019"/>
    <w:rsid w:val="00DC72D0"/>
    <w:rsid w:val="00DC7A29"/>
    <w:rsid w:val="00DD038A"/>
    <w:rsid w:val="00DD30C5"/>
    <w:rsid w:val="00DD573D"/>
    <w:rsid w:val="00DD703A"/>
    <w:rsid w:val="00DD7778"/>
    <w:rsid w:val="00DD79C3"/>
    <w:rsid w:val="00DD7E27"/>
    <w:rsid w:val="00DE0407"/>
    <w:rsid w:val="00DE04BB"/>
    <w:rsid w:val="00DE4A69"/>
    <w:rsid w:val="00DF011E"/>
    <w:rsid w:val="00DF249A"/>
    <w:rsid w:val="00DF791C"/>
    <w:rsid w:val="00E02164"/>
    <w:rsid w:val="00E06AFB"/>
    <w:rsid w:val="00E11729"/>
    <w:rsid w:val="00E122B7"/>
    <w:rsid w:val="00E13FC2"/>
    <w:rsid w:val="00E145F3"/>
    <w:rsid w:val="00E14960"/>
    <w:rsid w:val="00E20835"/>
    <w:rsid w:val="00E22F1A"/>
    <w:rsid w:val="00E247B6"/>
    <w:rsid w:val="00E26CCA"/>
    <w:rsid w:val="00E27E07"/>
    <w:rsid w:val="00E3085D"/>
    <w:rsid w:val="00E32CA7"/>
    <w:rsid w:val="00E32EBD"/>
    <w:rsid w:val="00E34163"/>
    <w:rsid w:val="00E34FC8"/>
    <w:rsid w:val="00E36B17"/>
    <w:rsid w:val="00E41010"/>
    <w:rsid w:val="00E4299F"/>
    <w:rsid w:val="00E44DB0"/>
    <w:rsid w:val="00E46A23"/>
    <w:rsid w:val="00E46A35"/>
    <w:rsid w:val="00E507BF"/>
    <w:rsid w:val="00E53914"/>
    <w:rsid w:val="00E53A7F"/>
    <w:rsid w:val="00E551E5"/>
    <w:rsid w:val="00E563F6"/>
    <w:rsid w:val="00E56EA4"/>
    <w:rsid w:val="00E57BCF"/>
    <w:rsid w:val="00E6455B"/>
    <w:rsid w:val="00E654D0"/>
    <w:rsid w:val="00E66D9F"/>
    <w:rsid w:val="00E71E1D"/>
    <w:rsid w:val="00E73F41"/>
    <w:rsid w:val="00E74B68"/>
    <w:rsid w:val="00E750A0"/>
    <w:rsid w:val="00E75258"/>
    <w:rsid w:val="00E777E8"/>
    <w:rsid w:val="00E77C65"/>
    <w:rsid w:val="00E81160"/>
    <w:rsid w:val="00E8575D"/>
    <w:rsid w:val="00E90519"/>
    <w:rsid w:val="00E9266E"/>
    <w:rsid w:val="00E926D6"/>
    <w:rsid w:val="00E9295E"/>
    <w:rsid w:val="00E92969"/>
    <w:rsid w:val="00EA0181"/>
    <w:rsid w:val="00EA21B5"/>
    <w:rsid w:val="00EA25D5"/>
    <w:rsid w:val="00EA4805"/>
    <w:rsid w:val="00EB195F"/>
    <w:rsid w:val="00EB1C6D"/>
    <w:rsid w:val="00EB3255"/>
    <w:rsid w:val="00EB51D1"/>
    <w:rsid w:val="00EB62B5"/>
    <w:rsid w:val="00EB7C57"/>
    <w:rsid w:val="00EB7F91"/>
    <w:rsid w:val="00EB7F92"/>
    <w:rsid w:val="00EC01BE"/>
    <w:rsid w:val="00EC13E8"/>
    <w:rsid w:val="00EC2FC8"/>
    <w:rsid w:val="00EC41FF"/>
    <w:rsid w:val="00EC45BC"/>
    <w:rsid w:val="00EC7899"/>
    <w:rsid w:val="00ED45D3"/>
    <w:rsid w:val="00ED54B0"/>
    <w:rsid w:val="00ED5C1F"/>
    <w:rsid w:val="00ED6CB7"/>
    <w:rsid w:val="00ED7BB6"/>
    <w:rsid w:val="00EE030A"/>
    <w:rsid w:val="00EE2FF7"/>
    <w:rsid w:val="00EE7C11"/>
    <w:rsid w:val="00EF2044"/>
    <w:rsid w:val="00EF249C"/>
    <w:rsid w:val="00EF78FC"/>
    <w:rsid w:val="00F004CA"/>
    <w:rsid w:val="00F01D37"/>
    <w:rsid w:val="00F04380"/>
    <w:rsid w:val="00F04719"/>
    <w:rsid w:val="00F06619"/>
    <w:rsid w:val="00F06CCF"/>
    <w:rsid w:val="00F13882"/>
    <w:rsid w:val="00F1486C"/>
    <w:rsid w:val="00F16145"/>
    <w:rsid w:val="00F16CEA"/>
    <w:rsid w:val="00F20E23"/>
    <w:rsid w:val="00F21405"/>
    <w:rsid w:val="00F21434"/>
    <w:rsid w:val="00F21C00"/>
    <w:rsid w:val="00F23EBF"/>
    <w:rsid w:val="00F327E9"/>
    <w:rsid w:val="00F32C40"/>
    <w:rsid w:val="00F334B4"/>
    <w:rsid w:val="00F36A10"/>
    <w:rsid w:val="00F3732E"/>
    <w:rsid w:val="00F4051C"/>
    <w:rsid w:val="00F454B3"/>
    <w:rsid w:val="00F47CE4"/>
    <w:rsid w:val="00F524F1"/>
    <w:rsid w:val="00F5453D"/>
    <w:rsid w:val="00F56002"/>
    <w:rsid w:val="00F56194"/>
    <w:rsid w:val="00F56389"/>
    <w:rsid w:val="00F563C2"/>
    <w:rsid w:val="00F567ED"/>
    <w:rsid w:val="00F57075"/>
    <w:rsid w:val="00F6062F"/>
    <w:rsid w:val="00F6451B"/>
    <w:rsid w:val="00F64C35"/>
    <w:rsid w:val="00F67290"/>
    <w:rsid w:val="00F679D0"/>
    <w:rsid w:val="00F70363"/>
    <w:rsid w:val="00F71AAF"/>
    <w:rsid w:val="00F726C0"/>
    <w:rsid w:val="00F72B0F"/>
    <w:rsid w:val="00F755BA"/>
    <w:rsid w:val="00F8053F"/>
    <w:rsid w:val="00F80FE5"/>
    <w:rsid w:val="00F8206C"/>
    <w:rsid w:val="00F82573"/>
    <w:rsid w:val="00F83CF6"/>
    <w:rsid w:val="00F8526D"/>
    <w:rsid w:val="00F87047"/>
    <w:rsid w:val="00F91296"/>
    <w:rsid w:val="00F94BB7"/>
    <w:rsid w:val="00F954A0"/>
    <w:rsid w:val="00F970F8"/>
    <w:rsid w:val="00FA0121"/>
    <w:rsid w:val="00FA52F6"/>
    <w:rsid w:val="00FA5A46"/>
    <w:rsid w:val="00FA7CFF"/>
    <w:rsid w:val="00FB0107"/>
    <w:rsid w:val="00FB01B8"/>
    <w:rsid w:val="00FB08CF"/>
    <w:rsid w:val="00FB0DD6"/>
    <w:rsid w:val="00FB16B7"/>
    <w:rsid w:val="00FB4501"/>
    <w:rsid w:val="00FC09A8"/>
    <w:rsid w:val="00FC24C2"/>
    <w:rsid w:val="00FC5379"/>
    <w:rsid w:val="00FC58FF"/>
    <w:rsid w:val="00FC5E80"/>
    <w:rsid w:val="00FD3464"/>
    <w:rsid w:val="00FD3840"/>
    <w:rsid w:val="00FD631B"/>
    <w:rsid w:val="00FD75AD"/>
    <w:rsid w:val="00FD7959"/>
    <w:rsid w:val="00FE179F"/>
    <w:rsid w:val="00FE2480"/>
    <w:rsid w:val="00FE6535"/>
    <w:rsid w:val="00FF01E1"/>
    <w:rsid w:val="00FF030C"/>
    <w:rsid w:val="00FF564F"/>
    <w:rsid w:val="00FF6BE8"/>
    <w:rsid w:val="00FF775B"/>
  </w:rsids>
  <m:mathPr>
    <m:mathFont m:val="Cambria Math"/>
    <m:brkBin m:val="before"/>
    <m:brkBinSub m:val="--"/>
    <m:smallFrac m:val="0"/>
    <m:dispDef/>
    <m:lMargin m:val="0"/>
    <m:rMargin m:val="0"/>
    <m:defJc m:val="centerGroup"/>
    <m:wrapIndent m:val="1440"/>
    <m:intLim m:val="subSup"/>
    <m:naryLim m:val="undOvr"/>
  </m:mathPr>
  <w:themeFontLang w:val="da-DK"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4C852D"/>
  <w15:docId w15:val="{502010ED-275E-4F57-8584-7C71C223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uiPriority="7"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uiPriority="4"/>
    <w:lsdException w:name="List 2" w:semiHidden="1" w:unhideWhenUsed="1"/>
    <w:lsdException w:name="List 3" w:semiHidden="1"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6" w:unhideWhenUsed="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unhideWhenUsed/>
    <w:qFormat/>
    <w:rsid w:val="007C71FC"/>
    <w:pPr>
      <w:spacing w:line="270" w:lineRule="atLeast"/>
    </w:pPr>
    <w:rPr>
      <w:rFonts w:ascii="Verdana" w:hAnsi="Verdana" w:cs="Arial"/>
      <w:sz w:val="18"/>
    </w:rPr>
  </w:style>
  <w:style w:type="paragraph" w:styleId="Heading1">
    <w:name w:val="heading 1"/>
    <w:basedOn w:val="Normal"/>
    <w:next w:val="BodyText"/>
    <w:uiPriority w:val="2"/>
    <w:qFormat/>
    <w:pPr>
      <w:keepNext/>
      <w:keepLines/>
      <w:numPr>
        <w:numId w:val="10"/>
      </w:numPr>
      <w:suppressAutoHyphens/>
      <w:spacing w:before="500" w:after="120" w:line="280" w:lineRule="atLeast"/>
      <w:outlineLvl w:val="0"/>
    </w:pPr>
    <w:rPr>
      <w:sz w:val="24"/>
    </w:rPr>
  </w:style>
  <w:style w:type="paragraph" w:styleId="Heading2">
    <w:name w:val="heading 2"/>
    <w:basedOn w:val="Heading1"/>
    <w:next w:val="BodyText"/>
    <w:uiPriority w:val="2"/>
    <w:qFormat/>
    <w:pPr>
      <w:numPr>
        <w:ilvl w:val="1"/>
      </w:numPr>
      <w:spacing w:after="90"/>
      <w:outlineLvl w:val="1"/>
    </w:pPr>
  </w:style>
  <w:style w:type="paragraph" w:styleId="Heading3">
    <w:name w:val="heading 3"/>
    <w:basedOn w:val="Heading2"/>
    <w:next w:val="BodyText"/>
    <w:uiPriority w:val="2"/>
    <w:qFormat/>
    <w:pPr>
      <w:numPr>
        <w:ilvl w:val="2"/>
      </w:numPr>
      <w:spacing w:after="60"/>
      <w:outlineLvl w:val="2"/>
    </w:pPr>
  </w:style>
  <w:style w:type="paragraph" w:styleId="Heading4">
    <w:name w:val="heading 4"/>
    <w:basedOn w:val="Heading3"/>
    <w:next w:val="BodyText"/>
    <w:uiPriority w:val="2"/>
    <w:qFormat/>
    <w:pPr>
      <w:numPr>
        <w:ilvl w:val="0"/>
        <w:numId w:val="0"/>
      </w:numPr>
      <w:spacing w:before="240"/>
      <w:outlineLvl w:val="3"/>
    </w:pPr>
    <w:rPr>
      <w:sz w:val="20"/>
    </w:rPr>
  </w:style>
  <w:style w:type="paragraph" w:styleId="Heading5">
    <w:name w:val="heading 5"/>
    <w:basedOn w:val="Heading4"/>
    <w:next w:val="BodyText"/>
    <w:uiPriority w:val="2"/>
    <w:unhideWhenUsed/>
    <w:qFormat/>
    <w:pPr>
      <w:outlineLvl w:val="4"/>
    </w:pPr>
  </w:style>
  <w:style w:type="paragraph" w:styleId="Heading6">
    <w:name w:val="heading 6"/>
    <w:basedOn w:val="Normal"/>
    <w:next w:val="Normal"/>
    <w:uiPriority w:val="2"/>
    <w:semiHidden/>
    <w:unhideWhenUsed/>
    <w:qFormat/>
    <w:pPr>
      <w:numPr>
        <w:ilvl w:val="5"/>
        <w:numId w:val="11"/>
      </w:numPr>
      <w:spacing w:before="240" w:after="60"/>
      <w:outlineLvl w:val="5"/>
    </w:pPr>
    <w:rPr>
      <w:i/>
    </w:rPr>
  </w:style>
  <w:style w:type="paragraph" w:styleId="Heading7">
    <w:name w:val="heading 7"/>
    <w:basedOn w:val="Normal"/>
    <w:next w:val="BodyText"/>
    <w:uiPriority w:val="2"/>
    <w:qFormat/>
    <w:pPr>
      <w:keepNext/>
      <w:keepLines/>
      <w:pageBreakBefore/>
      <w:numPr>
        <w:ilvl w:val="6"/>
        <w:numId w:val="10"/>
      </w:numPr>
      <w:suppressAutoHyphens/>
      <w:spacing w:after="120" w:line="280" w:lineRule="atLeast"/>
      <w:ind w:left="1276" w:hanging="1276"/>
      <w:outlineLvl w:val="6"/>
    </w:pPr>
    <w:rPr>
      <w:sz w:val="24"/>
      <w:szCs w:val="32"/>
    </w:rPr>
  </w:style>
  <w:style w:type="paragraph" w:styleId="Heading8">
    <w:name w:val="heading 8"/>
    <w:basedOn w:val="Heading7"/>
    <w:next w:val="BodyText"/>
    <w:uiPriority w:val="2"/>
    <w:unhideWhenUsed/>
    <w:qFormat/>
    <w:pPr>
      <w:pageBreakBefore w:val="0"/>
      <w:numPr>
        <w:ilvl w:val="7"/>
      </w:numPr>
      <w:spacing w:before="500" w:after="90"/>
      <w:outlineLvl w:val="7"/>
    </w:pPr>
  </w:style>
  <w:style w:type="paragraph" w:styleId="Heading9">
    <w:name w:val="heading 9"/>
    <w:basedOn w:val="Heading8"/>
    <w:next w:val="BodyText"/>
    <w:uiPriority w:val="2"/>
    <w:unhideWhenUsed/>
    <w:qFormat/>
    <w:pPr>
      <w:numPr>
        <w:ilvl w:val="8"/>
      </w:numPr>
      <w:spacing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spacing w:line="160" w:lineRule="atLeast"/>
      <w:ind w:left="-2268"/>
      <w:jc w:val="right"/>
    </w:pPr>
    <w:rPr>
      <w:caps/>
      <w:sz w:val="14"/>
    </w:rPr>
  </w:style>
  <w:style w:type="paragraph" w:styleId="BodyText">
    <w:name w:val="Body Text"/>
    <w:basedOn w:val="Normal"/>
    <w:pPr>
      <w:spacing w:after="270"/>
    </w:pPr>
  </w:style>
  <w:style w:type="paragraph" w:customStyle="1" w:styleId="BodyMargin">
    <w:name w:val="Body Margin"/>
    <w:basedOn w:val="BodyText"/>
    <w:next w:val="BodyText"/>
    <w:uiPriority w:val="1"/>
    <w:pPr>
      <w:ind w:hanging="2268"/>
    </w:pPr>
  </w:style>
  <w:style w:type="paragraph" w:styleId="Footer">
    <w:name w:val="footer"/>
    <w:basedOn w:val="FooterEven"/>
    <w:semiHidden/>
    <w:pPr>
      <w:tabs>
        <w:tab w:val="right" w:pos="7371"/>
      </w:tabs>
      <w:jc w:val="right"/>
    </w:pPr>
  </w:style>
  <w:style w:type="paragraph" w:customStyle="1" w:styleId="MarginFrame">
    <w:name w:val="Margin Frame"/>
    <w:basedOn w:val="Normal"/>
    <w:uiPriority w:val="7"/>
    <w:pPr>
      <w:keepNext/>
      <w:keepLines/>
      <w:framePr w:w="1871" w:wrap="around" w:vAnchor="text" w:hAnchor="margin" w:x="-2267" w:y="1"/>
    </w:pPr>
  </w:style>
  <w:style w:type="paragraph" w:styleId="TOC1">
    <w:name w:val="toc 1"/>
    <w:basedOn w:val="Normal"/>
    <w:next w:val="Normal"/>
    <w:uiPriority w:val="39"/>
    <w:pPr>
      <w:keepNext/>
      <w:keepLines/>
      <w:tabs>
        <w:tab w:val="right" w:pos="7343"/>
      </w:tabs>
      <w:suppressAutoHyphens/>
      <w:spacing w:before="240" w:after="40" w:line="260" w:lineRule="atLeast"/>
      <w:ind w:left="851" w:right="1134" w:hanging="851"/>
    </w:pPr>
    <w:rPr>
      <w:noProof/>
      <w:sz w:val="22"/>
    </w:rPr>
  </w:style>
  <w:style w:type="paragraph" w:customStyle="1" w:styleId="BodyTextNoSpace">
    <w:name w:val="Body Text NoSpace"/>
    <w:basedOn w:val="BodyText"/>
    <w:pPr>
      <w:spacing w:after="0"/>
    </w:pPr>
  </w:style>
  <w:style w:type="paragraph" w:customStyle="1" w:styleId="BodyMarginNoSpace">
    <w:name w:val="Body Margin NoSpace"/>
    <w:basedOn w:val="BodyMargin"/>
    <w:next w:val="BodyTextNoSpace"/>
    <w:uiPriority w:val="1"/>
    <w:pPr>
      <w:spacing w:after="0"/>
    </w:pPr>
  </w:style>
  <w:style w:type="paragraph" w:styleId="TOC2">
    <w:name w:val="toc 2"/>
    <w:basedOn w:val="TOC1"/>
    <w:next w:val="Normal"/>
    <w:uiPriority w:val="39"/>
    <w:pPr>
      <w:keepNext w:val="0"/>
      <w:spacing w:before="0"/>
    </w:pPr>
  </w:style>
  <w:style w:type="paragraph" w:styleId="ListBullet">
    <w:name w:val="List Bullet"/>
    <w:basedOn w:val="BodyText"/>
    <w:uiPriority w:val="4"/>
    <w:pPr>
      <w:numPr>
        <w:numId w:val="6"/>
      </w:numPr>
    </w:pPr>
  </w:style>
  <w:style w:type="paragraph" w:styleId="ListBullet2">
    <w:name w:val="List Bullet 2"/>
    <w:basedOn w:val="ListBullet"/>
    <w:uiPriority w:val="4"/>
    <w:pPr>
      <w:numPr>
        <w:ilvl w:val="1"/>
      </w:numPr>
    </w:pPr>
  </w:style>
  <w:style w:type="numbering" w:customStyle="1" w:styleId="CowiBulletList">
    <w:name w:val="CowiBulletList"/>
    <w:basedOn w:val="NoList"/>
    <w:pPr>
      <w:numPr>
        <w:numId w:val="6"/>
      </w:numPr>
    </w:pPr>
  </w:style>
  <w:style w:type="numbering" w:customStyle="1" w:styleId="CowiNumberList">
    <w:name w:val="CowiNumberList"/>
    <w:basedOn w:val="NoList"/>
    <w:pPr>
      <w:numPr>
        <w:numId w:val="7"/>
      </w:numPr>
    </w:pPr>
  </w:style>
  <w:style w:type="paragraph" w:styleId="Caption">
    <w:name w:val="caption"/>
    <w:basedOn w:val="Normal"/>
    <w:next w:val="BodyText"/>
    <w:uiPriority w:val="3"/>
    <w:qFormat/>
    <w:pPr>
      <w:spacing w:before="140" w:after="140" w:line="240" w:lineRule="atLeast"/>
      <w:ind w:left="1276" w:hanging="1276"/>
    </w:pPr>
    <w:rPr>
      <w:i/>
      <w:sz w:val="16"/>
    </w:rPr>
  </w:style>
  <w:style w:type="paragraph" w:styleId="ListContinue">
    <w:name w:val="List Continue"/>
    <w:basedOn w:val="BodyText"/>
    <w:uiPriority w:val="6"/>
    <w:pPr>
      <w:ind w:left="425"/>
    </w:pPr>
  </w:style>
  <w:style w:type="paragraph" w:styleId="ListContinue2">
    <w:name w:val="List Continue 2"/>
    <w:basedOn w:val="ListContinue"/>
    <w:uiPriority w:val="6"/>
    <w:pPr>
      <w:ind w:left="851"/>
    </w:pPr>
  </w:style>
  <w:style w:type="paragraph" w:styleId="ListNumber">
    <w:name w:val="List Number"/>
    <w:basedOn w:val="BodyText"/>
    <w:uiPriority w:val="4"/>
    <w:pPr>
      <w:numPr>
        <w:numId w:val="7"/>
      </w:numPr>
    </w:pPr>
  </w:style>
  <w:style w:type="paragraph" w:styleId="ListNumber2">
    <w:name w:val="List Number 2"/>
    <w:basedOn w:val="ListNumber"/>
    <w:uiPriority w:val="4"/>
    <w:pPr>
      <w:numPr>
        <w:ilvl w:val="1"/>
      </w:numPr>
    </w:pPr>
  </w:style>
  <w:style w:type="paragraph" w:customStyle="1" w:styleId="ListContinueNoSpace">
    <w:name w:val="List Continue NoSpace"/>
    <w:basedOn w:val="ListContinue"/>
    <w:uiPriority w:val="6"/>
    <w:pPr>
      <w:spacing w:after="0"/>
    </w:pPr>
  </w:style>
  <w:style w:type="paragraph" w:customStyle="1" w:styleId="ListContinue2NoSpace">
    <w:name w:val="List Continue 2 NoSpace"/>
    <w:basedOn w:val="ListContinue2"/>
    <w:uiPriority w:val="6"/>
    <w:pPr>
      <w:spacing w:after="0"/>
    </w:pPr>
  </w:style>
  <w:style w:type="paragraph" w:customStyle="1" w:styleId="ListBulletNoSpace">
    <w:name w:val="List Bullet NoSpace"/>
    <w:basedOn w:val="ListBullet"/>
    <w:uiPriority w:val="4"/>
    <w:qFormat/>
    <w:pPr>
      <w:spacing w:after="0"/>
    </w:pPr>
  </w:style>
  <w:style w:type="paragraph" w:customStyle="1" w:styleId="ListHanging">
    <w:name w:val="List Hanging"/>
    <w:basedOn w:val="BodyText"/>
    <w:uiPriority w:val="7"/>
    <w:pPr>
      <w:ind w:left="1701" w:hanging="1701"/>
    </w:pPr>
  </w:style>
  <w:style w:type="paragraph" w:customStyle="1" w:styleId="ListHangingNoSpace">
    <w:name w:val="List Hanging NoSpace"/>
    <w:basedOn w:val="ListHanging"/>
    <w:uiPriority w:val="7"/>
    <w:pPr>
      <w:spacing w:after="0"/>
    </w:pPr>
  </w:style>
  <w:style w:type="paragraph" w:customStyle="1" w:styleId="Table">
    <w:name w:val="Table"/>
    <w:basedOn w:val="Normal"/>
    <w:uiPriority w:val="8"/>
    <w:semiHidden/>
    <w:unhideWhenUsed/>
    <w:pPr>
      <w:spacing w:before="60" w:after="120" w:line="220" w:lineRule="atLeast"/>
    </w:pPr>
    <w:rPr>
      <w:sz w:val="16"/>
    </w:rPr>
  </w:style>
  <w:style w:type="paragraph" w:styleId="TOC3">
    <w:name w:val="toc 3"/>
    <w:basedOn w:val="TOC2"/>
    <w:next w:val="Normal"/>
    <w:uiPriority w:val="9"/>
    <w:semiHidden/>
    <w:unhideWhenUsed/>
  </w:style>
  <w:style w:type="paragraph" w:styleId="Signature">
    <w:name w:val="Signature"/>
    <w:basedOn w:val="BodyText"/>
    <w:semiHidden/>
    <w:unhideWhenUsed/>
    <w:pPr>
      <w:spacing w:after="0" w:line="220" w:lineRule="atLeast"/>
    </w:pPr>
  </w:style>
  <w:style w:type="character" w:customStyle="1" w:styleId="HeaderChar">
    <w:name w:val="Header Char"/>
    <w:basedOn w:val="DefaultParagraphFont"/>
    <w:link w:val="Header"/>
    <w:semiHidden/>
    <w:rPr>
      <w:rFonts w:ascii="Verdana" w:hAnsi="Verdana" w:cs="Arial"/>
      <w:caps/>
      <w:sz w:val="14"/>
    </w:rPr>
  </w:style>
  <w:style w:type="paragraph" w:customStyle="1" w:styleId="FrontPage1">
    <w:name w:val="FrontPage1"/>
    <w:basedOn w:val="Normal"/>
    <w:next w:val="BodyText"/>
    <w:semiHidden/>
    <w:pPr>
      <w:framePr w:w="7088" w:h="2648" w:wrap="notBeside" w:vAnchor="page" w:hAnchor="margin" w:x="-2267" w:y="1781" w:anchorLock="1"/>
      <w:suppressAutoHyphens/>
      <w:spacing w:after="160" w:line="240" w:lineRule="atLeast"/>
    </w:pPr>
    <w:rPr>
      <w:sz w:val="24"/>
    </w:rPr>
  </w:style>
  <w:style w:type="paragraph" w:styleId="ListBullet3">
    <w:name w:val="List Bullet 3"/>
    <w:basedOn w:val="ListBullet2"/>
    <w:uiPriority w:val="4"/>
    <w:pPr>
      <w:numPr>
        <w:ilvl w:val="2"/>
      </w:numPr>
      <w:tabs>
        <w:tab w:val="left" w:pos="1276"/>
      </w:tabs>
    </w:pPr>
  </w:style>
  <w:style w:type="paragraph" w:styleId="ListContinue3">
    <w:name w:val="List Continue 3"/>
    <w:basedOn w:val="ListContinue2"/>
    <w:uiPriority w:val="6"/>
    <w:pPr>
      <w:ind w:left="1276"/>
    </w:pPr>
  </w:style>
  <w:style w:type="paragraph" w:styleId="ListNumber3">
    <w:name w:val="List Number 3"/>
    <w:basedOn w:val="ListNumber2"/>
    <w:uiPriority w:val="4"/>
    <w:pPr>
      <w:numPr>
        <w:ilvl w:val="2"/>
      </w:numPr>
      <w:tabs>
        <w:tab w:val="left" w:pos="1276"/>
      </w:tabs>
    </w:pPr>
  </w:style>
  <w:style w:type="paragraph" w:customStyle="1" w:styleId="ListBullet2NoSpace">
    <w:name w:val="List Bullet 2 NoSpace"/>
    <w:basedOn w:val="ListBullet2"/>
    <w:uiPriority w:val="4"/>
    <w:qFormat/>
    <w:pPr>
      <w:spacing w:after="0"/>
      <w:ind w:left="850" w:hanging="425"/>
    </w:pPr>
  </w:style>
  <w:style w:type="paragraph" w:customStyle="1" w:styleId="ListContinue3NoSpace">
    <w:name w:val="List Continue 3 NoSpace"/>
    <w:basedOn w:val="ListContinue3"/>
    <w:uiPriority w:val="6"/>
    <w:pPr>
      <w:spacing w:after="0"/>
    </w:pPr>
  </w:style>
  <w:style w:type="paragraph" w:customStyle="1" w:styleId="ListBullet3NoSpace">
    <w:name w:val="List Bullet 3 NoSpace"/>
    <w:basedOn w:val="ListBullet3"/>
    <w:uiPriority w:val="4"/>
    <w:qFormat/>
    <w:pPr>
      <w:spacing w:after="0"/>
    </w:pPr>
  </w:style>
  <w:style w:type="paragraph" w:customStyle="1" w:styleId="ListContinue0">
    <w:name w:val="List Continue 0"/>
    <w:basedOn w:val="ListContinue"/>
    <w:uiPriority w:val="6"/>
    <w:pPr>
      <w:ind w:left="0"/>
    </w:pPr>
  </w:style>
  <w:style w:type="paragraph" w:customStyle="1" w:styleId="ListContinue0NoSpace">
    <w:name w:val="List Continue 0 NoSpace"/>
    <w:basedOn w:val="ListContinue0"/>
    <w:uiPriority w:val="6"/>
    <w:pPr>
      <w:spacing w:after="0"/>
    </w:pPr>
  </w:style>
  <w:style w:type="paragraph" w:customStyle="1" w:styleId="CaptionMargin">
    <w:name w:val="Caption Margin"/>
    <w:basedOn w:val="Caption"/>
    <w:next w:val="BodyText"/>
    <w:uiPriority w:val="3"/>
    <w:pPr>
      <w:ind w:left="-992"/>
    </w:pPr>
  </w:style>
  <w:style w:type="paragraph" w:customStyle="1" w:styleId="FooterEven">
    <w:name w:val="FooterEven"/>
    <w:basedOn w:val="Normal"/>
    <w:uiPriority w:val="7"/>
    <w:qFormat/>
    <w:pPr>
      <w:spacing w:line="160" w:lineRule="atLeast"/>
      <w:ind w:left="-2268"/>
    </w:pPr>
    <w:rPr>
      <w:noProof/>
      <w:sz w:val="11"/>
    </w:rPr>
  </w:style>
  <w:style w:type="paragraph" w:styleId="TOC7">
    <w:name w:val="toc 7"/>
    <w:basedOn w:val="TOC2"/>
    <w:next w:val="Normal"/>
    <w:semiHidden/>
    <w:pPr>
      <w:spacing w:before="240"/>
      <w:ind w:left="1276" w:hanging="1276"/>
    </w:pPr>
  </w:style>
  <w:style w:type="paragraph" w:customStyle="1" w:styleId="HeaderCowiAddress">
    <w:name w:val="HeaderCowiAddress"/>
    <w:basedOn w:val="Normal"/>
    <w:uiPriority w:val="7"/>
    <w:semiHidden/>
    <w:qFormat/>
    <w:pPr>
      <w:framePr w:w="3402" w:wrap="around" w:vAnchor="page" w:hAnchor="page" w:xAlign="right" w:y="681"/>
      <w:tabs>
        <w:tab w:val="right" w:pos="1077"/>
        <w:tab w:val="left" w:pos="1134"/>
      </w:tabs>
      <w:spacing w:line="220" w:lineRule="exact"/>
      <w:ind w:left="1134" w:hanging="1134"/>
    </w:pPr>
    <w:rPr>
      <w:noProof/>
      <w:sz w:val="14"/>
    </w:rPr>
  </w:style>
  <w:style w:type="paragraph" w:customStyle="1" w:styleId="HeaderCowiLogo">
    <w:name w:val="HeaderCowiLogo"/>
    <w:basedOn w:val="HeaderCowiAddress"/>
    <w:next w:val="HeaderCowiAddress"/>
    <w:uiPriority w:val="7"/>
    <w:semiHidden/>
    <w:qFormat/>
    <w:pPr>
      <w:framePr w:wrap="around"/>
      <w:tabs>
        <w:tab w:val="clear" w:pos="1077"/>
        <w:tab w:val="clear" w:pos="1134"/>
      </w:tabs>
      <w:spacing w:after="658" w:line="240" w:lineRule="atLeast"/>
      <w:ind w:left="567" w:firstLine="0"/>
    </w:pPr>
  </w:style>
  <w:style w:type="character" w:customStyle="1" w:styleId="CowiLabel">
    <w:name w:val="Cowi Label"/>
    <w:basedOn w:val="DefaultParagraphFont"/>
    <w:uiPriority w:val="1"/>
    <w:semiHidden/>
    <w:rPr>
      <w:rFonts w:ascii="Verdana" w:hAnsi="Verdana" w:cs="Arial"/>
      <w:caps/>
      <w:smallCaps w:val="0"/>
      <w:color w:val="F04E23"/>
      <w:sz w:val="11"/>
    </w:rPr>
  </w:style>
  <w:style w:type="paragraph" w:customStyle="1" w:styleId="FrontPage2">
    <w:name w:val="FrontPage2"/>
    <w:basedOn w:val="FrontPage1"/>
    <w:next w:val="BodyText"/>
    <w:semiHidden/>
    <w:pPr>
      <w:framePr w:wrap="notBeside"/>
    </w:pPr>
    <w:rPr>
      <w:rFonts w:ascii="Arial Black" w:hAnsi="Arial Black"/>
      <w:sz w:val="28"/>
    </w:rPr>
  </w:style>
  <w:style w:type="paragraph" w:customStyle="1" w:styleId="FrontPage3">
    <w:name w:val="FrontPage3"/>
    <w:basedOn w:val="FrontPage1"/>
    <w:next w:val="Normal"/>
    <w:semiHidden/>
    <w:pPr>
      <w:framePr w:wrap="notBeside"/>
      <w:spacing w:after="0"/>
    </w:pPr>
  </w:style>
  <w:style w:type="table" w:styleId="TableGrid6">
    <w:name w:val="Table Grid 6"/>
    <w:basedOn w:val="TableNormal"/>
    <w:semiHidden/>
    <w:pPr>
      <w:spacing w:line="27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val="0"/>
        <w:bCs/>
      </w:rPr>
      <w:tblPr/>
      <w:tcPr>
        <w:tcBorders>
          <w:bottom w:val="single" w:sz="6" w:space="0" w:color="000000"/>
          <w:tl2br w:val="none" w:sz="0" w:space="0" w:color="auto"/>
          <w:tr2bl w:val="none" w:sz="0" w:space="0" w:color="auto"/>
        </w:tcBorders>
      </w:tcPr>
    </w:tblStylePr>
    <w:tblStylePr w:type="lastRow">
      <w:rPr>
        <w:color w:val="auto"/>
      </w:rPr>
      <w:tblPr/>
      <w:tcPr>
        <w:tcBorders>
          <w:top w:val="nil"/>
        </w:tcBorders>
        <w:shd w:val="clear" w:color="auto" w:fill="auto"/>
      </w:tcPr>
    </w:tblStylePr>
    <w:tblStylePr w:type="firstCol">
      <w:rPr>
        <w:b/>
        <w:bCs/>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paragraph" w:customStyle="1" w:styleId="FrontPageFrame">
    <w:name w:val="FrontPageFrame"/>
    <w:basedOn w:val="Normal"/>
    <w:semiHidden/>
    <w:pPr>
      <w:framePr w:w="9639" w:wrap="around" w:hAnchor="margin" w:x="-2267" w:yAlign="bottom"/>
      <w:tabs>
        <w:tab w:val="left" w:pos="1134"/>
      </w:tabs>
      <w:spacing w:line="240" w:lineRule="atLeast"/>
    </w:pPr>
    <w:rPr>
      <w:sz w:val="14"/>
    </w:rPr>
  </w:style>
  <w:style w:type="paragraph" w:customStyle="1" w:styleId="ContentsPage">
    <w:name w:val="ContentsPage"/>
    <w:basedOn w:val="Normal"/>
    <w:next w:val="BodyText"/>
    <w:semiHidden/>
    <w:rsid w:val="007C71FC"/>
    <w:pPr>
      <w:keepNext/>
      <w:keepLines/>
      <w:suppressAutoHyphens/>
      <w:spacing w:line="240" w:lineRule="atLeast"/>
    </w:pPr>
    <w:rPr>
      <w:caps/>
      <w:color w:val="F04E23"/>
      <w:sz w:val="40"/>
      <w:szCs w:val="40"/>
    </w:rPr>
  </w:style>
  <w:style w:type="paragraph" w:customStyle="1" w:styleId="AppendixPage">
    <w:name w:val="AppendixPage"/>
    <w:basedOn w:val="ContentsPage"/>
    <w:next w:val="BodyTextNoSpace"/>
    <w:semiHidden/>
    <w:unhideWhenUsed/>
    <w:pPr>
      <w:spacing w:before="120"/>
    </w:pPr>
  </w:style>
  <w:style w:type="paragraph" w:customStyle="1" w:styleId="Appendix">
    <w:name w:val="Appendix"/>
    <w:basedOn w:val="Normal"/>
    <w:next w:val="BodyText"/>
    <w:semiHidden/>
    <w:unhideWhenUsed/>
    <w:pPr>
      <w:keepNext/>
      <w:keepLines/>
      <w:pageBreakBefore/>
      <w:suppressAutoHyphens/>
      <w:spacing w:after="130" w:line="320" w:lineRule="exact"/>
      <w:outlineLvl w:val="6"/>
    </w:pPr>
    <w:rPr>
      <w:b/>
      <w:sz w:val="32"/>
    </w:rPr>
  </w:style>
  <w:style w:type="paragraph" w:styleId="TOC4">
    <w:name w:val="toc 4"/>
    <w:basedOn w:val="TOC3"/>
    <w:next w:val="Normal"/>
    <w:semiHidden/>
    <w:pPr>
      <w:spacing w:line="220" w:lineRule="exact"/>
      <w:ind w:left="1276" w:hanging="1276"/>
    </w:pPr>
    <w:rPr>
      <w:sz w:val="20"/>
    </w:rPr>
  </w:style>
  <w:style w:type="paragraph" w:styleId="TOC5">
    <w:name w:val="toc 5"/>
    <w:basedOn w:val="TOC4"/>
    <w:next w:val="Normal"/>
    <w:semiHidden/>
  </w:style>
  <w:style w:type="paragraph" w:styleId="TOC6">
    <w:name w:val="toc 6"/>
    <w:basedOn w:val="Normal"/>
    <w:next w:val="Normal"/>
    <w:autoRedefine/>
    <w:semiHidden/>
    <w:pPr>
      <w:ind w:left="1150"/>
    </w:pPr>
  </w:style>
  <w:style w:type="paragraph" w:styleId="TOC8">
    <w:name w:val="toc 8"/>
    <w:basedOn w:val="TOC7"/>
    <w:next w:val="Normal"/>
    <w:semiHidden/>
    <w:pPr>
      <w:spacing w:before="0"/>
      <w:ind w:left="850" w:hanging="850"/>
    </w:pPr>
  </w:style>
  <w:style w:type="paragraph" w:styleId="TOC9">
    <w:name w:val="toc 9"/>
    <w:basedOn w:val="TOC8"/>
    <w:next w:val="Normal"/>
    <w:semiHidden/>
  </w:style>
  <w:style w:type="paragraph" w:customStyle="1" w:styleId="FirstFooter">
    <w:name w:val="FirstFooter"/>
    <w:basedOn w:val="Footer"/>
    <w:semiHidden/>
    <w:pPr>
      <w:spacing w:line="240" w:lineRule="exact"/>
      <w:ind w:right="2268"/>
    </w:pPr>
  </w:style>
  <w:style w:type="paragraph" w:customStyle="1" w:styleId="FrontPageSmall">
    <w:name w:val="FrontPageSmall"/>
    <w:basedOn w:val="Normal"/>
    <w:uiPriority w:val="7"/>
    <w:semiHidden/>
    <w:qFormat/>
    <w:pPr>
      <w:keepNext/>
      <w:keepLines/>
      <w:suppressAutoHyphens/>
      <w:spacing w:line="220" w:lineRule="atLeast"/>
    </w:pPr>
    <w:rPr>
      <w:caps/>
    </w:rPr>
  </w:style>
  <w:style w:type="paragraph" w:customStyle="1" w:styleId="FrontPage">
    <w:name w:val="FrontPage"/>
    <w:basedOn w:val="FrontPageSmall"/>
    <w:next w:val="FrontPageSmall"/>
    <w:uiPriority w:val="7"/>
    <w:qFormat/>
    <w:pPr>
      <w:spacing w:before="240" w:after="240" w:line="600" w:lineRule="atLeast"/>
    </w:pPr>
    <w:rPr>
      <w:sz w:val="56"/>
      <w:szCs w:val="56"/>
    </w:rPr>
  </w:style>
  <w:style w:type="numbering" w:styleId="111111">
    <w:name w:val="Outline List 2"/>
    <w:basedOn w:val="NoList"/>
    <w:pPr>
      <w:numPr>
        <w:numId w:val="2"/>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unhideWhenUsed/>
    <w:pPr>
      <w:spacing w:after="120" w:line="480" w:lineRule="auto"/>
    </w:pPr>
  </w:style>
  <w:style w:type="paragraph" w:styleId="BodyText3">
    <w:name w:val="Body Text 3"/>
    <w:basedOn w:val="Normal"/>
    <w:semiHidden/>
    <w:unhideWhenUsed/>
    <w:pPr>
      <w:spacing w:after="120"/>
    </w:pPr>
    <w:rPr>
      <w:sz w:val="16"/>
      <w:szCs w:val="16"/>
    </w:rPr>
  </w:style>
  <w:style w:type="paragraph" w:styleId="BodyTextFirstIndent">
    <w:name w:val="Body Text First Indent"/>
    <w:basedOn w:val="BodyText"/>
    <w:semiHidden/>
    <w:unhideWhenUsed/>
    <w:pPr>
      <w:spacing w:after="120"/>
      <w:ind w:firstLine="210"/>
    </w:pPr>
  </w:style>
  <w:style w:type="paragraph" w:styleId="BodyTextIndent">
    <w:name w:val="Body Text Indent"/>
    <w:basedOn w:val="Normal"/>
    <w:semiHidden/>
    <w:unhideWhenUsed/>
    <w:pPr>
      <w:spacing w:after="120"/>
      <w:ind w:left="283"/>
    </w:pPr>
  </w:style>
  <w:style w:type="paragraph" w:styleId="BodyTextFirstIndent2">
    <w:name w:val="Body Text First Indent 2"/>
    <w:basedOn w:val="BodyTextIndent"/>
    <w:semiHidden/>
    <w:unhideWhenUsed/>
    <w:pPr>
      <w:ind w:firstLine="210"/>
    </w:pPr>
  </w:style>
  <w:style w:type="paragraph" w:styleId="BodyTextIndent2">
    <w:name w:val="Body Text Indent 2"/>
    <w:basedOn w:val="Normal"/>
    <w:semiHidden/>
    <w:unhideWhenUsed/>
    <w:pPr>
      <w:spacing w:after="120" w:line="480" w:lineRule="auto"/>
      <w:ind w:left="283"/>
    </w:pPr>
  </w:style>
  <w:style w:type="paragraph" w:styleId="BodyTextIndent3">
    <w:name w:val="Body Text Indent 3"/>
    <w:basedOn w:val="Normal"/>
    <w:semiHidden/>
    <w:unhideWhenUsed/>
    <w:pPr>
      <w:spacing w:after="120"/>
      <w:ind w:left="283"/>
    </w:pPr>
    <w:rPr>
      <w:sz w:val="16"/>
      <w:szCs w:val="16"/>
    </w:rPr>
  </w:style>
  <w:style w:type="paragraph" w:styleId="Closing">
    <w:name w:val="Closing"/>
    <w:basedOn w:val="Normal"/>
    <w:semiHidden/>
    <w:unhideWhenUsed/>
    <w:pPr>
      <w:ind w:left="425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ate">
    <w:name w:val="Date"/>
    <w:basedOn w:val="Normal"/>
    <w:next w:val="Normal"/>
    <w:semiHidden/>
    <w:unhideWhenUsed/>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unhideWhenUsed/>
  </w:style>
  <w:style w:type="character" w:styleId="Emphasis">
    <w:name w:val="Emphasis"/>
    <w:basedOn w:val="DefaultParagraphFont"/>
    <w:semiHidden/>
    <w:unhideWhenUsed/>
    <w:qFormat/>
    <w:rPr>
      <w:i/>
      <w:iCs/>
    </w:rPr>
  </w:style>
  <w:style w:type="character" w:styleId="EndnoteReference">
    <w:name w:val="endnote reference"/>
    <w:basedOn w:val="DefaultParagraphFont"/>
    <w:semiHidden/>
    <w:rPr>
      <w:vertAlign w:val="superscript"/>
    </w:rPr>
  </w:style>
  <w:style w:type="paragraph" w:styleId="EndnoteText">
    <w:name w:val="endnote text"/>
    <w:basedOn w:val="Normal"/>
    <w:semiHidden/>
  </w:style>
  <w:style w:type="paragraph" w:styleId="EnvelopeAddress">
    <w:name w:val="envelope address"/>
    <w:basedOn w:val="Normal"/>
    <w:semiHidden/>
    <w:unhideWhenUsed/>
    <w:pPr>
      <w:framePr w:w="7920" w:h="1980" w:hRule="exact" w:hSpace="141" w:wrap="auto" w:hAnchor="page" w:xAlign="center" w:yAlign="bottom"/>
      <w:ind w:left="2880"/>
    </w:pPr>
    <w:rPr>
      <w:sz w:val="24"/>
      <w:szCs w:val="24"/>
    </w:rPr>
  </w:style>
  <w:style w:type="paragraph" w:styleId="EnvelopeReturn">
    <w:name w:val="envelope return"/>
    <w:basedOn w:val="Normal"/>
    <w:semiHidden/>
    <w:unhideWhenUsed/>
  </w:style>
  <w:style w:type="character" w:styleId="FollowedHyperlink">
    <w:name w:val="FollowedHyperlink"/>
    <w:basedOn w:val="DefaultParagraphFont"/>
    <w:semiHidden/>
    <w:unhideWhenUsed/>
    <w:rPr>
      <w:color w:val="800080"/>
      <w:u w:val="single"/>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character" w:styleId="HTMLAcronym">
    <w:name w:val="HTML Acronym"/>
    <w:basedOn w:val="DefaultParagraphFont"/>
    <w:semiHidden/>
    <w:unhideWhenUsed/>
  </w:style>
  <w:style w:type="paragraph" w:styleId="HTMLAddress">
    <w:name w:val="HTML Address"/>
    <w:basedOn w:val="Normal"/>
    <w:semiHidden/>
    <w:unhideWhenUsed/>
    <w:rPr>
      <w:i/>
      <w:iCs/>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urier New" w:hAnsi="Courier New" w:cs="Courier New"/>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urier New" w:hAnsi="Courier New" w:cs="Courier New"/>
      <w:sz w:val="20"/>
      <w:szCs w:val="20"/>
    </w:rPr>
  </w:style>
  <w:style w:type="paragraph" w:styleId="HTMLPreformatted">
    <w:name w:val="HTML Preformatted"/>
    <w:basedOn w:val="Normal"/>
    <w:semiHidden/>
    <w:unhideWhenUsed/>
    <w:rPr>
      <w:rFonts w:ascii="Courier New" w:hAnsi="Courier New" w:cs="Courier New"/>
    </w:rPr>
  </w:style>
  <w:style w:type="character" w:styleId="HTMLSample">
    <w:name w:val="HTML Sample"/>
    <w:basedOn w:val="DefaultParagraphFont"/>
    <w:semiHidden/>
    <w:unhideWhenUsed/>
    <w:rPr>
      <w:rFonts w:ascii="Courier New" w:hAnsi="Courier New" w:cs="Courier New"/>
    </w:rPr>
  </w:style>
  <w:style w:type="character" w:styleId="HTMLTypewriter">
    <w:name w:val="HTML Typewriter"/>
    <w:basedOn w:val="DefaultParagraphFont"/>
    <w:semiHidden/>
    <w:unhideWhenUsed/>
    <w:rPr>
      <w:rFonts w:ascii="Courier New" w:hAnsi="Courier New" w:cs="Courier New"/>
      <w:sz w:val="20"/>
      <w:szCs w:val="20"/>
    </w:rPr>
  </w:style>
  <w:style w:type="character" w:styleId="HTMLVariable">
    <w:name w:val="HTML Variable"/>
    <w:basedOn w:val="DefaultParagraphFont"/>
    <w:semiHidden/>
    <w:unhideWhenUsed/>
    <w:rPr>
      <w:i/>
      <w:iCs/>
    </w:rPr>
  </w:style>
  <w:style w:type="character" w:styleId="Hyperlink">
    <w:name w:val="Hyperlink"/>
    <w:basedOn w:val="DefaultParagraphFont"/>
    <w:uiPriority w:val="99"/>
    <w:unhideWhenUsed/>
    <w:rPr>
      <w:color w:val="0000FF"/>
      <w:u w:val="single"/>
    </w:rPr>
  </w:style>
  <w:style w:type="paragraph" w:styleId="Index1">
    <w:name w:val="index 1"/>
    <w:basedOn w:val="Normal"/>
    <w:next w:val="Normal"/>
    <w:autoRedefine/>
    <w:semiHidden/>
    <w:pPr>
      <w:ind w:left="230" w:hanging="230"/>
    </w:pPr>
  </w:style>
  <w:style w:type="paragraph" w:styleId="Index2">
    <w:name w:val="index 2"/>
    <w:basedOn w:val="Normal"/>
    <w:next w:val="Normal"/>
    <w:autoRedefine/>
    <w:semiHidden/>
    <w:pPr>
      <w:ind w:left="460" w:hanging="230"/>
    </w:pPr>
  </w:style>
  <w:style w:type="paragraph" w:styleId="Index3">
    <w:name w:val="index 3"/>
    <w:basedOn w:val="Normal"/>
    <w:next w:val="Normal"/>
    <w:autoRedefine/>
    <w:semiHidden/>
    <w:pPr>
      <w:ind w:left="690" w:hanging="230"/>
    </w:pPr>
  </w:style>
  <w:style w:type="paragraph" w:styleId="Index4">
    <w:name w:val="index 4"/>
    <w:basedOn w:val="Normal"/>
    <w:next w:val="Normal"/>
    <w:autoRedefine/>
    <w:semiHidden/>
    <w:pPr>
      <w:ind w:left="920" w:hanging="230"/>
    </w:pPr>
  </w:style>
  <w:style w:type="paragraph" w:styleId="Index5">
    <w:name w:val="index 5"/>
    <w:basedOn w:val="Normal"/>
    <w:next w:val="Normal"/>
    <w:autoRedefine/>
    <w:semiHidden/>
    <w:pPr>
      <w:ind w:left="1150" w:hanging="230"/>
    </w:pPr>
  </w:style>
  <w:style w:type="paragraph" w:styleId="Index6">
    <w:name w:val="index 6"/>
    <w:basedOn w:val="Normal"/>
    <w:next w:val="Normal"/>
    <w:autoRedefine/>
    <w:semiHidden/>
    <w:pPr>
      <w:ind w:left="1380" w:hanging="230"/>
    </w:pPr>
  </w:style>
  <w:style w:type="paragraph" w:styleId="Index7">
    <w:name w:val="index 7"/>
    <w:basedOn w:val="Normal"/>
    <w:next w:val="Normal"/>
    <w:autoRedefine/>
    <w:semiHidden/>
    <w:pPr>
      <w:ind w:left="1610" w:hanging="230"/>
    </w:pPr>
  </w:style>
  <w:style w:type="paragraph" w:styleId="Index8">
    <w:name w:val="index 8"/>
    <w:basedOn w:val="Normal"/>
    <w:next w:val="Normal"/>
    <w:autoRedefine/>
    <w:semiHidden/>
    <w:pPr>
      <w:ind w:left="1840" w:hanging="230"/>
    </w:pPr>
  </w:style>
  <w:style w:type="paragraph" w:styleId="Index9">
    <w:name w:val="index 9"/>
    <w:basedOn w:val="Normal"/>
    <w:next w:val="Normal"/>
    <w:autoRedefine/>
    <w:semiHidden/>
    <w:pPr>
      <w:ind w:left="2070" w:hanging="230"/>
    </w:pPr>
  </w:style>
  <w:style w:type="paragraph" w:styleId="IndexHeading">
    <w:name w:val="index heading"/>
    <w:basedOn w:val="Normal"/>
    <w:next w:val="Index1"/>
    <w:semiHidden/>
    <w:rPr>
      <w:b/>
      <w:bCs/>
    </w:rPr>
  </w:style>
  <w:style w:type="character" w:styleId="LineNumber">
    <w:name w:val="line number"/>
    <w:basedOn w:val="DefaultParagraphFont"/>
    <w:semiHidden/>
    <w:unhideWhenUsed/>
  </w:style>
  <w:style w:type="paragraph" w:styleId="List">
    <w:name w:val="List"/>
    <w:basedOn w:val="Normal"/>
    <w:semiHidden/>
    <w:unhideWhenUsed/>
    <w:pPr>
      <w:ind w:left="283" w:hanging="283"/>
    </w:pPr>
  </w:style>
  <w:style w:type="paragraph" w:styleId="List2">
    <w:name w:val="List 2"/>
    <w:basedOn w:val="Normal"/>
    <w:semiHidden/>
    <w:unhideWhenUsed/>
    <w:pPr>
      <w:ind w:left="566" w:hanging="283"/>
    </w:pPr>
  </w:style>
  <w:style w:type="paragraph" w:styleId="List3">
    <w:name w:val="List 3"/>
    <w:basedOn w:val="Normal"/>
    <w:semiHidden/>
    <w:unhideWhenUsed/>
    <w:pPr>
      <w:ind w:left="849" w:hanging="283"/>
    </w:pPr>
  </w:style>
  <w:style w:type="paragraph" w:styleId="List4">
    <w:name w:val="List 4"/>
    <w:basedOn w:val="Normal"/>
    <w:semiHidden/>
    <w:unhideWhenUsed/>
    <w:pPr>
      <w:ind w:left="1132" w:hanging="283"/>
    </w:pPr>
  </w:style>
  <w:style w:type="paragraph" w:styleId="List5">
    <w:name w:val="List 5"/>
    <w:basedOn w:val="Normal"/>
    <w:semiHidden/>
    <w:unhideWhenUsed/>
    <w:pPr>
      <w:ind w:left="1415" w:hanging="283"/>
    </w:pPr>
  </w:style>
  <w:style w:type="paragraph" w:styleId="ListBullet4">
    <w:name w:val="List Bullet 4"/>
    <w:basedOn w:val="Normal"/>
    <w:uiPriority w:val="4"/>
    <w:unhideWhenUsed/>
    <w:pPr>
      <w:numPr>
        <w:ilvl w:val="3"/>
        <w:numId w:val="6"/>
      </w:numPr>
    </w:pPr>
  </w:style>
  <w:style w:type="paragraph" w:styleId="ListBullet5">
    <w:name w:val="List Bullet 5"/>
    <w:basedOn w:val="Normal"/>
    <w:uiPriority w:val="4"/>
    <w:semiHidden/>
    <w:unhideWhenUsed/>
    <w:pPr>
      <w:numPr>
        <w:numId w:val="5"/>
      </w:numPr>
    </w:pPr>
  </w:style>
  <w:style w:type="paragraph" w:styleId="ListContinue4">
    <w:name w:val="List Continue 4"/>
    <w:basedOn w:val="Normal"/>
    <w:uiPriority w:val="6"/>
    <w:unhideWhenUsed/>
    <w:pPr>
      <w:spacing w:after="120"/>
      <w:ind w:left="1132"/>
    </w:pPr>
  </w:style>
  <w:style w:type="paragraph" w:styleId="ListContinue5">
    <w:name w:val="List Continue 5"/>
    <w:basedOn w:val="Normal"/>
    <w:uiPriority w:val="6"/>
    <w:unhideWhenUsed/>
    <w:pPr>
      <w:spacing w:after="120"/>
      <w:ind w:left="1415"/>
    </w:pPr>
  </w:style>
  <w:style w:type="paragraph" w:styleId="ListNumber4">
    <w:name w:val="List Number 4"/>
    <w:basedOn w:val="Normal"/>
    <w:uiPriority w:val="4"/>
    <w:semiHidden/>
    <w:unhideWhenUsed/>
    <w:pPr>
      <w:numPr>
        <w:ilvl w:val="3"/>
        <w:numId w:val="7"/>
      </w:numPr>
    </w:pPr>
  </w:style>
  <w:style w:type="paragraph" w:styleId="ListNumber5">
    <w:name w:val="List Number 5"/>
    <w:basedOn w:val="Normal"/>
    <w:uiPriority w:val="4"/>
    <w:semiHidden/>
    <w:unhideWhenUsed/>
    <w:pPr>
      <w:numPr>
        <w:numId w:val="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70" w:lineRule="atLeast"/>
    </w:pPr>
    <w:rPr>
      <w:rFonts w:ascii="Courier New" w:hAnsi="Courier New" w:cs="Courier New"/>
    </w:rPr>
  </w:style>
  <w:style w:type="paragraph" w:styleId="MessageHeader">
    <w:name w:val="Message Header"/>
    <w:basedOn w:val="Normal"/>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unhideWhenUsed/>
    <w:rPr>
      <w:sz w:val="24"/>
      <w:szCs w:val="24"/>
    </w:rPr>
  </w:style>
  <w:style w:type="paragraph" w:styleId="NormalIndent">
    <w:name w:val="Normal Indent"/>
    <w:basedOn w:val="Normal"/>
    <w:semiHidden/>
    <w:unhideWhenUsed/>
    <w:pPr>
      <w:ind w:left="425"/>
    </w:pPr>
  </w:style>
  <w:style w:type="paragraph" w:styleId="NoteHeading">
    <w:name w:val="Note Heading"/>
    <w:basedOn w:val="Normal"/>
    <w:next w:val="Normal"/>
    <w:semiHidden/>
    <w:unhideWhenUsed/>
  </w:style>
  <w:style w:type="character" w:styleId="PageNumber">
    <w:name w:val="page number"/>
    <w:basedOn w:val="DefaultParagraphFont"/>
    <w:semiHidden/>
    <w:unhideWhenUsed/>
  </w:style>
  <w:style w:type="paragraph" w:styleId="PlainText">
    <w:name w:val="Plain Text"/>
    <w:basedOn w:val="Normal"/>
    <w:semiHidden/>
    <w:unhideWhenUsed/>
    <w:rPr>
      <w:rFonts w:ascii="Courier New" w:hAnsi="Courier New" w:cs="Courier New"/>
    </w:rPr>
  </w:style>
  <w:style w:type="paragraph" w:styleId="Salutation">
    <w:name w:val="Salutation"/>
    <w:basedOn w:val="Normal"/>
    <w:next w:val="Normal"/>
    <w:semiHidden/>
    <w:unhideWhenUsed/>
  </w:style>
  <w:style w:type="character" w:styleId="Strong">
    <w:name w:val="Strong"/>
    <w:basedOn w:val="DefaultParagraphFont"/>
    <w:semiHidden/>
    <w:unhideWhenUsed/>
    <w:qFormat/>
    <w:rPr>
      <w:b/>
      <w:bCs/>
    </w:rPr>
  </w:style>
  <w:style w:type="paragraph" w:styleId="Subtitle">
    <w:name w:val="Subtitle"/>
    <w:basedOn w:val="Normal"/>
    <w:semiHidden/>
    <w:unhideWhenUsed/>
    <w:qFormat/>
    <w:pPr>
      <w:spacing w:after="60"/>
      <w:jc w:val="center"/>
      <w:outlineLvl w:val="1"/>
    </w:pPr>
    <w:rPr>
      <w:sz w:val="24"/>
      <w:szCs w:val="24"/>
    </w:rPr>
  </w:style>
  <w:style w:type="table" w:styleId="Table3Deffects1">
    <w:name w:val="Table 3D effects 1"/>
    <w:basedOn w:val="TableNormal"/>
    <w:pPr>
      <w:spacing w:line="27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line="27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line="27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line="27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line="27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line="27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line="27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line="27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line="27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line="27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line="27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line="27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line="27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line="27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line="27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line="27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line="27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line="27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line="27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line="27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line="27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line="27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line="27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line="27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line="27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line="27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line="27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line="27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line="27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230" w:hanging="230"/>
    </w:pPr>
  </w:style>
  <w:style w:type="paragraph" w:styleId="TableofFigures">
    <w:name w:val="table of figures"/>
    <w:basedOn w:val="Normal"/>
    <w:next w:val="Normal"/>
    <w:semiHidden/>
    <w:pPr>
      <w:tabs>
        <w:tab w:val="right" w:pos="7371"/>
      </w:tabs>
      <w:spacing w:after="40" w:line="260" w:lineRule="atLeast"/>
      <w:ind w:left="1276" w:right="1134" w:hanging="1276"/>
    </w:pPr>
    <w:rPr>
      <w:sz w:val="22"/>
    </w:rPr>
  </w:style>
  <w:style w:type="table" w:styleId="TableProfessional">
    <w:name w:val="Table Professional"/>
    <w:basedOn w:val="TableNormal"/>
    <w:pPr>
      <w:spacing w:line="27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line="27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line="27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line="27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line="27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line="27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line="27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line="27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line="27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unhideWhenUsed/>
    <w:qFormat/>
    <w:pPr>
      <w:spacing w:before="240" w:after="60"/>
      <w:jc w:val="center"/>
      <w:outlineLvl w:val="0"/>
    </w:pPr>
    <w:rPr>
      <w:b/>
      <w:bCs/>
      <w:kern w:val="28"/>
      <w:sz w:val="32"/>
      <w:szCs w:val="32"/>
    </w:rPr>
  </w:style>
  <w:style w:type="paragraph" w:styleId="TOAHeading">
    <w:name w:val="toa heading"/>
    <w:basedOn w:val="Normal"/>
    <w:next w:val="Normal"/>
    <w:semiHidden/>
    <w:pPr>
      <w:spacing w:before="120"/>
    </w:pPr>
    <w:rPr>
      <w:b/>
      <w:bCs/>
      <w:sz w:val="24"/>
      <w:szCs w:val="24"/>
    </w:rPr>
  </w:style>
  <w:style w:type="paragraph" w:customStyle="1" w:styleId="ListNumberNoSpace">
    <w:name w:val="List Number NoSpace"/>
    <w:basedOn w:val="ListNumber"/>
    <w:uiPriority w:val="4"/>
    <w:qFormat/>
    <w:pPr>
      <w:spacing w:after="0"/>
    </w:pPr>
  </w:style>
  <w:style w:type="paragraph" w:customStyle="1" w:styleId="ListNumber2NoSpace">
    <w:name w:val="List Number 2 NoSpace"/>
    <w:basedOn w:val="ListNumber2"/>
    <w:uiPriority w:val="4"/>
    <w:qFormat/>
    <w:pPr>
      <w:spacing w:after="0"/>
      <w:ind w:left="850" w:hanging="425"/>
    </w:pPr>
  </w:style>
  <w:style w:type="paragraph" w:customStyle="1" w:styleId="ListNumber3NoSpace">
    <w:name w:val="List Number 3 NoSpace"/>
    <w:basedOn w:val="ListNumber3"/>
    <w:uiPriority w:val="4"/>
    <w:qFormat/>
    <w:pPr>
      <w:spacing w:after="0"/>
    </w:pPr>
  </w:style>
  <w:style w:type="paragraph" w:customStyle="1" w:styleId="TableNoSpace">
    <w:name w:val="Table NoSpace"/>
    <w:basedOn w:val="Table"/>
    <w:uiPriority w:val="8"/>
    <w:semiHidden/>
    <w:unhideWhenUsed/>
    <w:qFormat/>
    <w:pPr>
      <w:spacing w:after="60"/>
    </w:pPr>
  </w:style>
  <w:style w:type="numbering" w:customStyle="1" w:styleId="CowiHeadings">
    <w:name w:val="CowiHeadings"/>
    <w:basedOn w:val="NoList"/>
    <w:uiPriority w:val="99"/>
    <w:pPr>
      <w:numPr>
        <w:numId w:val="10"/>
      </w:numPr>
    </w:pPr>
  </w:style>
  <w:style w:type="table" w:customStyle="1" w:styleId="CowiTableGrid">
    <w:name w:val="Cowi Table Grid"/>
    <w:basedOn w:val="TableGrid5"/>
    <w:uiPriority w:val="99"/>
    <w:rsid w:val="00D12F49"/>
    <w:rPr>
      <w:sz w:val="23"/>
      <w:szCs w:val="23"/>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color w:val="F04E23"/>
      </w:rPr>
      <w:tblPr/>
      <w:tcPr>
        <w:tcBorders>
          <w:bottom w:val="single" w:sz="8" w:space="0" w:color="808080"/>
          <w:tl2br w:val="none" w:sz="0" w:space="0" w:color="auto"/>
          <w:tr2bl w:val="none" w:sz="0" w:space="0" w:color="auto"/>
        </w:tcBorders>
        <w:shd w:val="clear" w:color="auto" w:fill="auto"/>
      </w:tcPr>
    </w:tblStylePr>
    <w:tblStylePr w:type="lastRow">
      <w:rPr>
        <w:b/>
        <w:bCs/>
      </w:rPr>
      <w:tblPr/>
      <w:tcPr>
        <w:tcBorders>
          <w:tl2br w:val="none" w:sz="0" w:space="0" w:color="auto"/>
          <w:tr2bl w:val="none" w:sz="0" w:space="0" w:color="auto"/>
        </w:tcBorders>
      </w:tcPr>
    </w:tblStylePr>
    <w:tblStylePr w:type="firstCol">
      <w:rPr>
        <w:color w:val="F04E23"/>
      </w:rPr>
    </w:tblStylePr>
    <w:tblStylePr w:type="lastCol">
      <w:rPr>
        <w:b/>
        <w:bCs/>
      </w:rPr>
      <w:tblPr/>
      <w:tcPr>
        <w:tcBorders>
          <w:tl2br w:val="none" w:sz="0" w:space="0" w:color="auto"/>
          <w:tr2bl w:val="none" w:sz="0" w:space="0" w:color="auto"/>
        </w:tcBorders>
      </w:tcPr>
    </w:tblStylePr>
    <w:tblStylePr w:type="nwCell">
      <w:tblPr/>
      <w:tcPr>
        <w:tcBorders>
          <w:tl2br w:val="nil"/>
          <w:tr2bl w:val="none" w:sz="0" w:space="0" w:color="auto"/>
        </w:tcBorders>
        <w:shd w:val="clear" w:color="auto" w:fill="auto"/>
      </w:tcPr>
    </w:tblStylePr>
  </w:style>
  <w:style w:type="table" w:customStyle="1" w:styleId="CowiTableLines">
    <w:name w:val="Cowi Table Lines"/>
    <w:basedOn w:val="TableGrid6"/>
    <w:uiPriority w:val="99"/>
    <w:rsid w:val="001B03B4"/>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cPr>
      <w:shd w:val="clear" w:color="auto" w:fill="auto"/>
    </w:tcPr>
    <w:tblStylePr w:type="firstRow">
      <w:rPr>
        <w:b w:val="0"/>
        <w:bCs w:val="0"/>
        <w:color w:val="F04E23"/>
      </w:rPr>
      <w:tblPr/>
      <w:tcPr>
        <w:tcBorders>
          <w:bottom w:val="single" w:sz="8" w:space="0" w:color="808080"/>
          <w:tl2br w:val="none" w:sz="0" w:space="0" w:color="auto"/>
          <w:tr2bl w:val="none" w:sz="0" w:space="0" w:color="auto"/>
        </w:tcBorders>
        <w:shd w:val="clear" w:color="auto" w:fill="auto"/>
      </w:tcPr>
    </w:tblStylePr>
    <w:tblStylePr w:type="lastRow">
      <w:rPr>
        <w:color w:val="auto"/>
      </w:rPr>
      <w:tblPr/>
      <w:tcPr>
        <w:tcBorders>
          <w:top w:val="nil"/>
        </w:tcBorders>
        <w:shd w:val="clear" w:color="auto" w:fill="auto"/>
      </w:tcPr>
    </w:tblStylePr>
    <w:tblStylePr w:type="firstCol">
      <w:rPr>
        <w:b w:val="0"/>
        <w:bCs/>
        <w:i w:val="0"/>
        <w:color w:val="F04E23"/>
      </w:rPr>
      <w:tblPr/>
      <w:tcPr>
        <w:tcBorders>
          <w:tl2br w:val="none" w:sz="0" w:space="0" w:color="auto"/>
          <w:tr2bl w:val="none" w:sz="0" w:space="0" w:color="auto"/>
        </w:tcBorders>
      </w:tcPr>
    </w:tblStylePr>
    <w:tblStylePr w:type="nwCell">
      <w:tblPr/>
      <w:tcPr>
        <w:tcBorders>
          <w:tl2br w:val="nil"/>
        </w:tcBorders>
        <w:shd w:val="clear" w:color="auto" w:fill="auto"/>
      </w:tcPr>
    </w:tblStylePr>
  </w:style>
  <w:style w:type="numbering" w:customStyle="1" w:styleId="CowiTableBulletList">
    <w:name w:val="CowiTableBulletList"/>
    <w:basedOn w:val="NoList"/>
    <w:uiPriority w:val="99"/>
    <w:pPr>
      <w:numPr>
        <w:numId w:val="12"/>
      </w:numPr>
    </w:pPr>
  </w:style>
  <w:style w:type="numbering" w:customStyle="1" w:styleId="CowiTableNumberList">
    <w:name w:val="CowiTableNumberList"/>
    <w:basedOn w:val="NoList"/>
    <w:uiPriority w:val="99"/>
    <w:pPr>
      <w:numPr>
        <w:numId w:val="13"/>
      </w:numPr>
    </w:pPr>
  </w:style>
  <w:style w:type="paragraph" w:customStyle="1" w:styleId="TableBullet">
    <w:name w:val="Table Bullet"/>
    <w:basedOn w:val="TableText"/>
    <w:uiPriority w:val="7"/>
    <w:qFormat/>
    <w:pPr>
      <w:numPr>
        <w:numId w:val="12"/>
      </w:numPr>
    </w:pPr>
  </w:style>
  <w:style w:type="paragraph" w:customStyle="1" w:styleId="TableBullet2">
    <w:name w:val="Table Bullet 2"/>
    <w:basedOn w:val="TableBullet"/>
    <w:uiPriority w:val="7"/>
    <w:qFormat/>
    <w:pPr>
      <w:numPr>
        <w:ilvl w:val="1"/>
      </w:numPr>
    </w:pPr>
  </w:style>
  <w:style w:type="paragraph" w:customStyle="1" w:styleId="TableNumberNoSpace">
    <w:name w:val="Table Number NoSpace"/>
    <w:basedOn w:val="TableNumber"/>
    <w:uiPriority w:val="7"/>
    <w:qFormat/>
    <w:pPr>
      <w:spacing w:after="0"/>
    </w:pPr>
  </w:style>
  <w:style w:type="paragraph" w:customStyle="1" w:styleId="TableBullet3">
    <w:name w:val="Table Bullet 3"/>
    <w:basedOn w:val="TableBullet2"/>
    <w:uiPriority w:val="7"/>
    <w:qFormat/>
    <w:pPr>
      <w:numPr>
        <w:ilvl w:val="2"/>
      </w:numPr>
    </w:pPr>
  </w:style>
  <w:style w:type="paragraph" w:customStyle="1" w:styleId="TableNumber3NoSpace">
    <w:name w:val="Table Number 3 NoSpace"/>
    <w:basedOn w:val="TableNumber3"/>
    <w:uiPriority w:val="7"/>
    <w:qFormat/>
    <w:pPr>
      <w:spacing w:after="0"/>
    </w:pPr>
  </w:style>
  <w:style w:type="paragraph" w:customStyle="1" w:styleId="TableContinue0">
    <w:name w:val="Table Continue 0"/>
    <w:basedOn w:val="TableText"/>
    <w:uiPriority w:val="7"/>
    <w:qFormat/>
  </w:style>
  <w:style w:type="paragraph" w:customStyle="1" w:styleId="TableContinue">
    <w:name w:val="Table Continue"/>
    <w:basedOn w:val="TableContinue0"/>
    <w:uiPriority w:val="7"/>
    <w:qFormat/>
    <w:pPr>
      <w:ind w:left="284"/>
    </w:pPr>
  </w:style>
  <w:style w:type="paragraph" w:customStyle="1" w:styleId="TableContinue0NoSpace">
    <w:name w:val="Table Continue 0 NoSpace"/>
    <w:basedOn w:val="TableContinue0"/>
    <w:uiPriority w:val="7"/>
    <w:qFormat/>
    <w:pPr>
      <w:spacing w:after="0"/>
    </w:pPr>
  </w:style>
  <w:style w:type="paragraph" w:customStyle="1" w:styleId="TableContinue2">
    <w:name w:val="Table Continue 2"/>
    <w:basedOn w:val="TableContinue"/>
    <w:uiPriority w:val="7"/>
    <w:qFormat/>
    <w:pPr>
      <w:ind w:left="567"/>
    </w:pPr>
  </w:style>
  <w:style w:type="paragraph" w:customStyle="1" w:styleId="TableContinue2NoSpace">
    <w:name w:val="Table Continue 2 NoSpace"/>
    <w:basedOn w:val="TableContinue2"/>
    <w:uiPriority w:val="7"/>
    <w:qFormat/>
    <w:pPr>
      <w:spacing w:after="0"/>
    </w:pPr>
  </w:style>
  <w:style w:type="paragraph" w:customStyle="1" w:styleId="TableContinue3">
    <w:name w:val="Table Continue 3"/>
    <w:basedOn w:val="TableContinue2"/>
    <w:uiPriority w:val="7"/>
    <w:qFormat/>
    <w:pPr>
      <w:ind w:left="851"/>
    </w:pPr>
  </w:style>
  <w:style w:type="paragraph" w:customStyle="1" w:styleId="TableContinue3NoSpace">
    <w:name w:val="Table Continue 3 NoSpace"/>
    <w:basedOn w:val="TableContinue3"/>
    <w:uiPriority w:val="7"/>
    <w:qFormat/>
    <w:pPr>
      <w:spacing w:after="0"/>
    </w:pPr>
  </w:style>
  <w:style w:type="paragraph" w:customStyle="1" w:styleId="TableContinueNoSpace">
    <w:name w:val="Table Continue NoSpace"/>
    <w:basedOn w:val="TableContinue"/>
    <w:uiPriority w:val="7"/>
    <w:qFormat/>
    <w:pPr>
      <w:spacing w:after="0"/>
    </w:pPr>
  </w:style>
  <w:style w:type="paragraph" w:customStyle="1" w:styleId="TableNumber">
    <w:name w:val="Table Number"/>
    <w:basedOn w:val="TableText"/>
    <w:uiPriority w:val="7"/>
    <w:qFormat/>
    <w:pPr>
      <w:numPr>
        <w:numId w:val="13"/>
      </w:numPr>
    </w:pPr>
  </w:style>
  <w:style w:type="paragraph" w:customStyle="1" w:styleId="TableNumber2">
    <w:name w:val="Table Number 2"/>
    <w:basedOn w:val="TableNumber"/>
    <w:uiPriority w:val="7"/>
    <w:qFormat/>
    <w:pPr>
      <w:numPr>
        <w:ilvl w:val="1"/>
      </w:numPr>
    </w:pPr>
  </w:style>
  <w:style w:type="paragraph" w:customStyle="1" w:styleId="TableBulletNoSpace">
    <w:name w:val="Table Bullet NoSpace"/>
    <w:basedOn w:val="TableBullet"/>
    <w:uiPriority w:val="7"/>
    <w:qFormat/>
    <w:pPr>
      <w:spacing w:after="0"/>
    </w:pPr>
  </w:style>
  <w:style w:type="paragraph" w:customStyle="1" w:styleId="TableNumber3">
    <w:name w:val="Table Number 3"/>
    <w:basedOn w:val="TableNumber2"/>
    <w:uiPriority w:val="7"/>
    <w:qFormat/>
    <w:pPr>
      <w:numPr>
        <w:ilvl w:val="2"/>
      </w:numPr>
    </w:pPr>
  </w:style>
  <w:style w:type="paragraph" w:customStyle="1" w:styleId="TableBullet2NoSpace">
    <w:name w:val="Table Bullet 2 NoSpace"/>
    <w:basedOn w:val="TableBullet2"/>
    <w:uiPriority w:val="7"/>
    <w:qFormat/>
    <w:pPr>
      <w:spacing w:after="0"/>
      <w:ind w:left="568" w:hanging="284"/>
    </w:pPr>
  </w:style>
  <w:style w:type="paragraph" w:customStyle="1" w:styleId="TableBullet3NoSpace">
    <w:name w:val="Table Bullet 3 NoSpace"/>
    <w:basedOn w:val="TableBullet3"/>
    <w:uiPriority w:val="7"/>
    <w:qFormat/>
    <w:pPr>
      <w:spacing w:after="0"/>
    </w:pPr>
  </w:style>
  <w:style w:type="paragraph" w:customStyle="1" w:styleId="TableText">
    <w:name w:val="Table Text"/>
    <w:basedOn w:val="Normal"/>
    <w:uiPriority w:val="7"/>
    <w:qFormat/>
    <w:pPr>
      <w:spacing w:after="120" w:line="220" w:lineRule="atLeast"/>
    </w:pPr>
    <w:rPr>
      <w:sz w:val="16"/>
      <w:szCs w:val="23"/>
    </w:rPr>
  </w:style>
  <w:style w:type="paragraph" w:customStyle="1" w:styleId="TableTextNoSpace">
    <w:name w:val="Table Text NoSpace"/>
    <w:basedOn w:val="TableText"/>
    <w:uiPriority w:val="7"/>
    <w:qFormat/>
    <w:pPr>
      <w:spacing w:after="0"/>
    </w:pPr>
  </w:style>
  <w:style w:type="paragraph" w:customStyle="1" w:styleId="TableNumber2NoSpace">
    <w:name w:val="Table Number 2 NoSpace"/>
    <w:basedOn w:val="TableNumber2"/>
    <w:uiPriority w:val="7"/>
    <w:qFormat/>
    <w:pPr>
      <w:spacing w:after="0"/>
      <w:ind w:left="568" w:hanging="284"/>
    </w:pPr>
  </w:style>
  <w:style w:type="paragraph" w:customStyle="1" w:styleId="HeaderFrame">
    <w:name w:val="HeaderFrame"/>
    <w:basedOn w:val="Header"/>
    <w:next w:val="Normal"/>
    <w:semiHidden/>
    <w:pPr>
      <w:framePr w:wrap="around" w:vAnchor="text" w:hAnchor="margin" w:xAlign="right" w:y="1"/>
      <w:ind w:left="0"/>
    </w:pPr>
  </w:style>
  <w:style w:type="paragraph" w:customStyle="1" w:styleId="HeaderEven">
    <w:name w:val="HeaderEven"/>
    <w:basedOn w:val="Header"/>
    <w:semiHidden/>
    <w:pPr>
      <w:tabs>
        <w:tab w:val="left" w:pos="-1758"/>
      </w:tabs>
      <w:jc w:val="left"/>
    </w:pPr>
    <w:rPr>
      <w:szCs w:val="14"/>
    </w:rPr>
  </w:style>
  <w:style w:type="paragraph" w:customStyle="1" w:styleId="FrontPageImage">
    <w:name w:val="FrontPageImage"/>
    <w:basedOn w:val="Normal"/>
    <w:next w:val="BodyText"/>
    <w:uiPriority w:val="11"/>
    <w:qFormat/>
    <w:pPr>
      <w:spacing w:before="840"/>
      <w:ind w:left="-1474"/>
    </w:pPr>
  </w:style>
  <w:style w:type="paragraph" w:customStyle="1" w:styleId="FooterCowiLogo">
    <w:name w:val="FooterCowiLogo"/>
    <w:basedOn w:val="Normal"/>
    <w:uiPriority w:val="7"/>
    <w:qFormat/>
    <w:pPr>
      <w:framePr w:w="11057" w:h="1361" w:hRule="exact" w:wrap="around" w:vAnchor="page" w:hAnchor="page" w:xAlign="right" w:yAlign="bottom"/>
    </w:pPr>
    <w:rPr>
      <w:noProof/>
    </w:rPr>
  </w:style>
  <w:style w:type="character" w:customStyle="1" w:styleId="CowiOrange">
    <w:name w:val="CowiOrange"/>
    <w:basedOn w:val="DefaultParagraphFont"/>
    <w:uiPriority w:val="1"/>
    <w:semiHidden/>
    <w:rPr>
      <w:color w:val="F04E23"/>
    </w:rPr>
  </w:style>
  <w:style w:type="paragraph" w:customStyle="1" w:styleId="HeaderEvenIndent">
    <w:name w:val="HeaderEvenIndent"/>
    <w:basedOn w:val="HeaderEven"/>
    <w:next w:val="HeaderEven"/>
    <w:uiPriority w:val="7"/>
    <w:semiHidden/>
    <w:qFormat/>
    <w:pPr>
      <w:ind w:left="-1758"/>
    </w:pPr>
  </w:style>
  <w:style w:type="paragraph" w:customStyle="1" w:styleId="HeaderIndent">
    <w:name w:val="HeaderIndent"/>
    <w:basedOn w:val="Header"/>
    <w:link w:val="HeaderIndentChar"/>
    <w:uiPriority w:val="7"/>
    <w:semiHidden/>
    <w:qFormat/>
    <w:pPr>
      <w:ind w:right="510"/>
    </w:pPr>
  </w:style>
  <w:style w:type="character" w:customStyle="1" w:styleId="HeaderIndentChar">
    <w:name w:val="HeaderIndent Char"/>
    <w:basedOn w:val="HeaderChar"/>
    <w:link w:val="HeaderIndent"/>
    <w:uiPriority w:val="7"/>
    <w:semiHidden/>
    <w:rPr>
      <w:rFonts w:ascii="Verdana" w:hAnsi="Verdana" w:cs="Arial"/>
      <w:caps/>
      <w:color w:val="333333"/>
      <w:sz w:val="14"/>
    </w:rPr>
  </w:style>
  <w:style w:type="paragraph" w:customStyle="1" w:styleId="CowiTitle">
    <w:name w:val="CowiTitle"/>
    <w:basedOn w:val="NoteHead"/>
    <w:uiPriority w:val="7"/>
    <w:qFormat/>
    <w:pPr>
      <w:framePr w:wrap="notBeside"/>
      <w:spacing w:before="240" w:after="240"/>
    </w:pPr>
    <w:rPr>
      <w:color w:val="333333"/>
      <w:sz w:val="40"/>
      <w:szCs w:val="40"/>
    </w:rPr>
  </w:style>
  <w:style w:type="paragraph" w:customStyle="1" w:styleId="NoteHead">
    <w:name w:val="NoteHead"/>
    <w:basedOn w:val="Normal"/>
    <w:uiPriority w:val="7"/>
    <w:semiHidden/>
    <w:qFormat/>
    <w:pPr>
      <w:framePr w:w="6804" w:h="3572" w:wrap="notBeside" w:vAnchor="page" w:hAnchor="margin" w:x="-2267" w:y="1986"/>
      <w:spacing w:line="220" w:lineRule="atLeast"/>
    </w:pPr>
    <w:rPr>
      <w:caps/>
      <w:szCs w:val="18"/>
    </w:rPr>
  </w:style>
  <w:style w:type="paragraph" w:customStyle="1" w:styleId="RevisionLog">
    <w:name w:val="RevisionLog"/>
    <w:basedOn w:val="Normal"/>
    <w:uiPriority w:val="7"/>
    <w:qFormat/>
    <w:pPr>
      <w:spacing w:line="160" w:lineRule="atLeast"/>
    </w:pPr>
    <w:rPr>
      <w:sz w:val="14"/>
    </w:rPr>
  </w:style>
  <w:style w:type="paragraph" w:customStyle="1" w:styleId="HeaderLeft">
    <w:name w:val="HeaderLeft"/>
    <w:basedOn w:val="Normal"/>
    <w:uiPriority w:val="7"/>
    <w:qFormat/>
    <w:pPr>
      <w:spacing w:line="180" w:lineRule="atLeast"/>
    </w:pPr>
    <w:rPr>
      <w:caps/>
      <w:sz w:val="14"/>
    </w:rPr>
  </w:style>
  <w:style w:type="paragraph" w:customStyle="1" w:styleId="HeaderRight">
    <w:name w:val="HeaderRight"/>
    <w:basedOn w:val="Normal"/>
    <w:uiPriority w:val="7"/>
    <w:qFormat/>
    <w:pPr>
      <w:spacing w:line="180" w:lineRule="atLeast"/>
      <w:jc w:val="right"/>
    </w:pPr>
    <w:rPr>
      <w:caps/>
      <w:sz w:val="14"/>
    </w:rPr>
  </w:style>
  <w:style w:type="paragraph" w:customStyle="1" w:styleId="FooterRight">
    <w:name w:val="FooterRight"/>
    <w:basedOn w:val="Normal"/>
    <w:uiPriority w:val="7"/>
    <w:qFormat/>
    <w:pPr>
      <w:spacing w:line="160" w:lineRule="atLeast"/>
      <w:jc w:val="right"/>
    </w:pPr>
    <w:rPr>
      <w:sz w:val="11"/>
    </w:rPr>
  </w:style>
  <w:style w:type="paragraph" w:customStyle="1" w:styleId="FooterLeft">
    <w:name w:val="FooterLeft"/>
    <w:basedOn w:val="Normal"/>
    <w:uiPriority w:val="7"/>
    <w:qFormat/>
    <w:pPr>
      <w:spacing w:line="160" w:lineRule="atLeast"/>
    </w:pPr>
    <w:rPr>
      <w:sz w:val="11"/>
    </w:rPr>
  </w:style>
  <w:style w:type="table" w:customStyle="1" w:styleId="GridTable5Dark-Accent31">
    <w:name w:val="Grid Table 5 Dark - Accent 31"/>
    <w:basedOn w:val="TableNormal"/>
    <w:uiPriority w:val="50"/>
    <w:rsid w:val="00B205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4E2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4E2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4E2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4E23" w:themeFill="accent3"/>
      </w:tcPr>
    </w:tblStylePr>
    <w:tblStylePr w:type="band1Vert">
      <w:tblPr/>
      <w:tcPr>
        <w:shd w:val="clear" w:color="auto" w:fill="F9B8A7" w:themeFill="accent3" w:themeFillTint="66"/>
      </w:tcPr>
    </w:tblStylePr>
    <w:tblStylePr w:type="band1Horz">
      <w:tblPr/>
      <w:tcPr>
        <w:shd w:val="clear" w:color="auto" w:fill="F9B8A7" w:themeFill="accent3" w:themeFillTint="66"/>
      </w:tcPr>
    </w:tblStylePr>
  </w:style>
  <w:style w:type="character" w:styleId="UnresolvedMention">
    <w:name w:val="Unresolved Mention"/>
    <w:basedOn w:val="DefaultParagraphFont"/>
    <w:uiPriority w:val="99"/>
    <w:unhideWhenUsed/>
    <w:rsid w:val="00F4051C"/>
    <w:rPr>
      <w:color w:val="605E5C"/>
      <w:shd w:val="clear" w:color="auto" w:fill="E1DFDD"/>
    </w:rPr>
  </w:style>
  <w:style w:type="character" w:styleId="Mention">
    <w:name w:val="Mention"/>
    <w:basedOn w:val="DefaultParagraphFont"/>
    <w:uiPriority w:val="99"/>
    <w:unhideWhenUsed/>
    <w:rsid w:val="00F4051C"/>
    <w:rPr>
      <w:color w:val="2B579A"/>
      <w:shd w:val="clear" w:color="auto" w:fill="E1DFDD"/>
    </w:rPr>
  </w:style>
  <w:style w:type="table" w:styleId="GridTable5Dark-Accent3">
    <w:name w:val="Grid Table 5 Dark Accent 3"/>
    <w:basedOn w:val="TableNormal"/>
    <w:uiPriority w:val="50"/>
    <w:rsid w:val="00C710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4E2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4E2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4E2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4E23" w:themeFill="accent3"/>
      </w:tcPr>
    </w:tblStylePr>
    <w:tblStylePr w:type="band1Vert">
      <w:tblPr/>
      <w:tcPr>
        <w:shd w:val="clear" w:color="auto" w:fill="F9B8A7" w:themeFill="accent3" w:themeFillTint="66"/>
      </w:tcPr>
    </w:tblStylePr>
    <w:tblStylePr w:type="band1Horz">
      <w:tblPr/>
      <w:tcPr>
        <w:shd w:val="clear" w:color="auto" w:fill="F9B8A7"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13587">
      <w:bodyDiv w:val="1"/>
      <w:marLeft w:val="0"/>
      <w:marRight w:val="0"/>
      <w:marTop w:val="0"/>
      <w:marBottom w:val="0"/>
      <w:divBdr>
        <w:top w:val="none" w:sz="0" w:space="0" w:color="auto"/>
        <w:left w:val="none" w:sz="0" w:space="0" w:color="auto"/>
        <w:bottom w:val="none" w:sz="0" w:space="0" w:color="auto"/>
        <w:right w:val="none" w:sz="0" w:space="0" w:color="auto"/>
      </w:divBdr>
    </w:div>
    <w:div w:id="11366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hyperlink" Target="http://www.skat.dk/SKAT.aspx?oID=1921371" TargetMode="Externa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yperlink" Target="http://www.skm.dk/skattetal/satser/satser-og-beloebsgraenser/vaegtafgiftsloven"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skat.dk/skat.aspx?oid=2302178"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skat.dk/skat.aspx?oid=2299953"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skat.dk/skat.aspx?oid=2299953" TargetMode="External"/><Relationship Id="rId27" Type="http://schemas.openxmlformats.org/officeDocument/2006/relationships/hyperlink" Target="https://www.skm.dk/skattetal/satser/satser-og-beloebsgraenser-i-lovgivningen/braendstofforbrugsafgiftsloven"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_rels/header2.xml.rels><?xml version="1.0" encoding="UTF-8" standalone="yes"?>
<Relationships xmlns="http://schemas.openxmlformats.org/package/2006/relationships"><Relationship Id="rId1" Type="http://schemas.openxmlformats.org/officeDocument/2006/relationships/image" Target="media/image12.emf"/></Relationships>
</file>

<file path=word/_rels/header3.xml.rels><?xml version="1.0" encoding="UTF-8" standalone="yes"?>
<Relationships xmlns="http://schemas.openxmlformats.org/package/2006/relationships"><Relationship Id="rId1" Type="http://schemas.openxmlformats.org/officeDocument/2006/relationships/image" Target="media/image1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templates\Cowi\Cowi_Note.DOTM" TargetMode="External"/></Relationships>
</file>

<file path=word/theme/theme1.xml><?xml version="1.0" encoding="utf-8"?>
<a:theme xmlns:a="http://schemas.openxmlformats.org/drawingml/2006/main" name="COWI">
  <a:themeElements>
    <a:clrScheme name="COWI">
      <a:dk1>
        <a:srgbClr val="000000"/>
      </a:dk1>
      <a:lt1>
        <a:sysClr val="window" lastClr="FFFFFF"/>
      </a:lt1>
      <a:dk2>
        <a:srgbClr val="58595B"/>
      </a:dk2>
      <a:lt2>
        <a:srgbClr val="D0C7BD"/>
      </a:lt2>
      <a:accent1>
        <a:srgbClr val="435A69"/>
      </a:accent1>
      <a:accent2>
        <a:srgbClr val="9DB8AF"/>
      </a:accent2>
      <a:accent3>
        <a:srgbClr val="F04E23"/>
      </a:accent3>
      <a:accent4>
        <a:srgbClr val="B3D455"/>
      </a:accent4>
      <a:accent5>
        <a:srgbClr val="0A6791"/>
      </a:accent5>
      <a:accent6>
        <a:srgbClr val="FADD89"/>
      </a:accent6>
      <a:hlink>
        <a:srgbClr val="F04E23"/>
      </a:hlink>
      <a:folHlink>
        <a:srgbClr val="867E78"/>
      </a:folHlink>
    </a:clrScheme>
    <a:fontScheme name="COWI 2015">
      <a:majorFont>
        <a:latin typeface="Verdana"/>
        <a:ea typeface=""/>
        <a:cs typeface=""/>
      </a:majorFont>
      <a:minorFont>
        <a:latin typeface="Verdana"/>
        <a:ea typeface=""/>
        <a:cs typeface=""/>
      </a:minorFont>
    </a:fontScheme>
    <a:fmtScheme name="COWI 2015">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OWI 2015" id="{C7D874C8-2039-466C-AD55-84BC20614C70}" vid="{A091C50E-1C2A-4C41-BA23-8AE5D2A8BD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CD25EDA4A5864AB7BC376837FDFB0E" ma:contentTypeVersion="6" ma:contentTypeDescription="Create a new document." ma:contentTypeScope="" ma:versionID="a885014c5fab702d07d1595e4e0bd836">
  <xsd:schema xmlns:xsd="http://www.w3.org/2001/XMLSchema" xmlns:xs="http://www.w3.org/2001/XMLSchema" xmlns:p="http://schemas.microsoft.com/office/2006/metadata/properties" xmlns:ns2="d040af1f-b54f-48d9-aeed-e151d32222ac" xmlns:ns3="7a2d17c9-faaf-4b2d-bf72-ed2eed8d294d" targetNamespace="http://schemas.microsoft.com/office/2006/metadata/properties" ma:root="true" ma:fieldsID="7a09cf07c189adfd2dff683adabf4b92" ns2:_="" ns3:_="">
    <xsd:import namespace="d040af1f-b54f-48d9-aeed-e151d32222ac"/>
    <xsd:import namespace="7a2d17c9-faaf-4b2d-bf72-ed2eed8d2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0af1f-b54f-48d9-aeed-e151d3222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d17c9-faaf-4b2d-bf72-ed2eed8d29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0139605-1FC2-4CF0-929C-D8287E403B0F}">
  <ds:schemaRefs>
    <ds:schemaRef ds:uri="http://schemas.openxmlformats.org/officeDocument/2006/bibliography"/>
  </ds:schemaRefs>
</ds:datastoreItem>
</file>

<file path=customXml/itemProps2.xml><?xml version="1.0" encoding="utf-8"?>
<ds:datastoreItem xmlns:ds="http://schemas.openxmlformats.org/officeDocument/2006/customXml" ds:itemID="{B1EA3A7C-8190-42B7-A148-657C029E33BF}">
  <ds:schemaRefs>
    <ds:schemaRef ds:uri="http://schemas.microsoft.com/sharepoint/v3/contenttype/forms"/>
  </ds:schemaRefs>
</ds:datastoreItem>
</file>

<file path=customXml/itemProps3.xml><?xml version="1.0" encoding="utf-8"?>
<ds:datastoreItem xmlns:ds="http://schemas.openxmlformats.org/officeDocument/2006/customXml" ds:itemID="{1D412E96-1A9E-4E3F-BC30-72E7E615E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0af1f-b54f-48d9-aeed-e151d32222ac"/>
    <ds:schemaRef ds:uri="7a2d17c9-faaf-4b2d-bf72-ed2eed8d2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8F109-5A89-4C3B-BA4E-B3C5E9611E6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Cowi_Note</Template>
  <TotalTime>14</TotalTime>
  <Pages>35</Pages>
  <Words>9492</Words>
  <Characters>56673</Characters>
  <Application>Microsoft Office Word</Application>
  <DocSecurity>0</DocSecurity>
  <Lines>1491</Lines>
  <Paragraphs>778</Paragraphs>
  <ScaleCrop>false</ScaleCrop>
  <HeadingPairs>
    <vt:vector size="2" baseType="variant">
      <vt:variant>
        <vt:lpstr>Title</vt:lpstr>
      </vt:variant>
      <vt:variant>
        <vt:i4>1</vt:i4>
      </vt:variant>
    </vt:vector>
  </HeadingPairs>
  <TitlesOfParts>
    <vt:vector size="1" baseType="lpstr">
      <vt:lpstr>Transportøkonomiske Kørselsomkostninger</vt:lpstr>
    </vt:vector>
  </TitlesOfParts>
  <Company>COWI</Company>
  <LinksUpToDate>false</LinksUpToDate>
  <CharactersWithSpaces>65387</CharactersWithSpaces>
  <SharedDoc>false</SharedDoc>
  <HLinks>
    <vt:vector size="180" baseType="variant">
      <vt:variant>
        <vt:i4>6619196</vt:i4>
      </vt:variant>
      <vt:variant>
        <vt:i4>366</vt:i4>
      </vt:variant>
      <vt:variant>
        <vt:i4>0</vt:i4>
      </vt:variant>
      <vt:variant>
        <vt:i4>5</vt:i4>
      </vt:variant>
      <vt:variant>
        <vt:lpwstr>https://www.skm.dk/skattetal/satser/satser-og-beloebsgraenser-i-lovgivningen/braendstofforbrugsafgiftsloven</vt:lpwstr>
      </vt:variant>
      <vt:variant>
        <vt:lpwstr/>
      </vt:variant>
      <vt:variant>
        <vt:i4>4259934</vt:i4>
      </vt:variant>
      <vt:variant>
        <vt:i4>363</vt:i4>
      </vt:variant>
      <vt:variant>
        <vt:i4>0</vt:i4>
      </vt:variant>
      <vt:variant>
        <vt:i4>5</vt:i4>
      </vt:variant>
      <vt:variant>
        <vt:lpwstr>http://www.skat.dk/SKAT.aspx?oID=1921371</vt:lpwstr>
      </vt:variant>
      <vt:variant>
        <vt:lpwstr/>
      </vt:variant>
      <vt:variant>
        <vt:i4>6553658</vt:i4>
      </vt:variant>
      <vt:variant>
        <vt:i4>360</vt:i4>
      </vt:variant>
      <vt:variant>
        <vt:i4>0</vt:i4>
      </vt:variant>
      <vt:variant>
        <vt:i4>5</vt:i4>
      </vt:variant>
      <vt:variant>
        <vt:lpwstr>http://www.skm.dk/skattetal/satser/satser-og-beloebsgraenser/vaegtafgiftsloven</vt:lpwstr>
      </vt:variant>
      <vt:variant>
        <vt:lpwstr/>
      </vt:variant>
      <vt:variant>
        <vt:i4>5177368</vt:i4>
      </vt:variant>
      <vt:variant>
        <vt:i4>357</vt:i4>
      </vt:variant>
      <vt:variant>
        <vt:i4>0</vt:i4>
      </vt:variant>
      <vt:variant>
        <vt:i4>5</vt:i4>
      </vt:variant>
      <vt:variant>
        <vt:lpwstr>https://www.skat.dk/skat.aspx?oid=2302178</vt:lpwstr>
      </vt:variant>
      <vt:variant>
        <vt:lpwstr/>
      </vt:variant>
      <vt:variant>
        <vt:i4>1966105</vt:i4>
      </vt:variant>
      <vt:variant>
        <vt:i4>354</vt:i4>
      </vt:variant>
      <vt:variant>
        <vt:i4>0</vt:i4>
      </vt:variant>
      <vt:variant>
        <vt:i4>5</vt:i4>
      </vt:variant>
      <vt:variant>
        <vt:lpwstr>https://skat.dk/skat.aspx?oid=2299953</vt:lpwstr>
      </vt:variant>
      <vt:variant>
        <vt:lpwstr/>
      </vt:variant>
      <vt:variant>
        <vt:i4>1966105</vt:i4>
      </vt:variant>
      <vt:variant>
        <vt:i4>351</vt:i4>
      </vt:variant>
      <vt:variant>
        <vt:i4>0</vt:i4>
      </vt:variant>
      <vt:variant>
        <vt:i4>5</vt:i4>
      </vt:variant>
      <vt:variant>
        <vt:lpwstr>https://skat.dk/skat.aspx?oid=2299953</vt:lpwstr>
      </vt:variant>
      <vt:variant>
        <vt:lpwstr/>
      </vt:variant>
      <vt:variant>
        <vt:i4>1507388</vt:i4>
      </vt:variant>
      <vt:variant>
        <vt:i4>140</vt:i4>
      </vt:variant>
      <vt:variant>
        <vt:i4>0</vt:i4>
      </vt:variant>
      <vt:variant>
        <vt:i4>5</vt:i4>
      </vt:variant>
      <vt:variant>
        <vt:lpwstr/>
      </vt:variant>
      <vt:variant>
        <vt:lpwstr>_Toc88834883</vt:lpwstr>
      </vt:variant>
      <vt:variant>
        <vt:i4>1441852</vt:i4>
      </vt:variant>
      <vt:variant>
        <vt:i4>134</vt:i4>
      </vt:variant>
      <vt:variant>
        <vt:i4>0</vt:i4>
      </vt:variant>
      <vt:variant>
        <vt:i4>5</vt:i4>
      </vt:variant>
      <vt:variant>
        <vt:lpwstr/>
      </vt:variant>
      <vt:variant>
        <vt:lpwstr>_Toc88834882</vt:lpwstr>
      </vt:variant>
      <vt:variant>
        <vt:i4>1376316</vt:i4>
      </vt:variant>
      <vt:variant>
        <vt:i4>128</vt:i4>
      </vt:variant>
      <vt:variant>
        <vt:i4>0</vt:i4>
      </vt:variant>
      <vt:variant>
        <vt:i4>5</vt:i4>
      </vt:variant>
      <vt:variant>
        <vt:lpwstr/>
      </vt:variant>
      <vt:variant>
        <vt:lpwstr>_Toc88834881</vt:lpwstr>
      </vt:variant>
      <vt:variant>
        <vt:i4>1310780</vt:i4>
      </vt:variant>
      <vt:variant>
        <vt:i4>122</vt:i4>
      </vt:variant>
      <vt:variant>
        <vt:i4>0</vt:i4>
      </vt:variant>
      <vt:variant>
        <vt:i4>5</vt:i4>
      </vt:variant>
      <vt:variant>
        <vt:lpwstr/>
      </vt:variant>
      <vt:variant>
        <vt:lpwstr>_Toc88834880</vt:lpwstr>
      </vt:variant>
      <vt:variant>
        <vt:i4>1900595</vt:i4>
      </vt:variant>
      <vt:variant>
        <vt:i4>116</vt:i4>
      </vt:variant>
      <vt:variant>
        <vt:i4>0</vt:i4>
      </vt:variant>
      <vt:variant>
        <vt:i4>5</vt:i4>
      </vt:variant>
      <vt:variant>
        <vt:lpwstr/>
      </vt:variant>
      <vt:variant>
        <vt:lpwstr>_Toc88834879</vt:lpwstr>
      </vt:variant>
      <vt:variant>
        <vt:i4>1835059</vt:i4>
      </vt:variant>
      <vt:variant>
        <vt:i4>110</vt:i4>
      </vt:variant>
      <vt:variant>
        <vt:i4>0</vt:i4>
      </vt:variant>
      <vt:variant>
        <vt:i4>5</vt:i4>
      </vt:variant>
      <vt:variant>
        <vt:lpwstr/>
      </vt:variant>
      <vt:variant>
        <vt:lpwstr>_Toc88834878</vt:lpwstr>
      </vt:variant>
      <vt:variant>
        <vt:i4>1245235</vt:i4>
      </vt:variant>
      <vt:variant>
        <vt:i4>104</vt:i4>
      </vt:variant>
      <vt:variant>
        <vt:i4>0</vt:i4>
      </vt:variant>
      <vt:variant>
        <vt:i4>5</vt:i4>
      </vt:variant>
      <vt:variant>
        <vt:lpwstr/>
      </vt:variant>
      <vt:variant>
        <vt:lpwstr>_Toc88834877</vt:lpwstr>
      </vt:variant>
      <vt:variant>
        <vt:i4>1179699</vt:i4>
      </vt:variant>
      <vt:variant>
        <vt:i4>98</vt:i4>
      </vt:variant>
      <vt:variant>
        <vt:i4>0</vt:i4>
      </vt:variant>
      <vt:variant>
        <vt:i4>5</vt:i4>
      </vt:variant>
      <vt:variant>
        <vt:lpwstr/>
      </vt:variant>
      <vt:variant>
        <vt:lpwstr>_Toc88834876</vt:lpwstr>
      </vt:variant>
      <vt:variant>
        <vt:i4>1114163</vt:i4>
      </vt:variant>
      <vt:variant>
        <vt:i4>92</vt:i4>
      </vt:variant>
      <vt:variant>
        <vt:i4>0</vt:i4>
      </vt:variant>
      <vt:variant>
        <vt:i4>5</vt:i4>
      </vt:variant>
      <vt:variant>
        <vt:lpwstr/>
      </vt:variant>
      <vt:variant>
        <vt:lpwstr>_Toc88834875</vt:lpwstr>
      </vt:variant>
      <vt:variant>
        <vt:i4>1048627</vt:i4>
      </vt:variant>
      <vt:variant>
        <vt:i4>86</vt:i4>
      </vt:variant>
      <vt:variant>
        <vt:i4>0</vt:i4>
      </vt:variant>
      <vt:variant>
        <vt:i4>5</vt:i4>
      </vt:variant>
      <vt:variant>
        <vt:lpwstr/>
      </vt:variant>
      <vt:variant>
        <vt:lpwstr>_Toc88834874</vt:lpwstr>
      </vt:variant>
      <vt:variant>
        <vt:i4>1507379</vt:i4>
      </vt:variant>
      <vt:variant>
        <vt:i4>80</vt:i4>
      </vt:variant>
      <vt:variant>
        <vt:i4>0</vt:i4>
      </vt:variant>
      <vt:variant>
        <vt:i4>5</vt:i4>
      </vt:variant>
      <vt:variant>
        <vt:lpwstr/>
      </vt:variant>
      <vt:variant>
        <vt:lpwstr>_Toc88834873</vt:lpwstr>
      </vt:variant>
      <vt:variant>
        <vt:i4>1441843</vt:i4>
      </vt:variant>
      <vt:variant>
        <vt:i4>74</vt:i4>
      </vt:variant>
      <vt:variant>
        <vt:i4>0</vt:i4>
      </vt:variant>
      <vt:variant>
        <vt:i4>5</vt:i4>
      </vt:variant>
      <vt:variant>
        <vt:lpwstr/>
      </vt:variant>
      <vt:variant>
        <vt:lpwstr>_Toc88834872</vt:lpwstr>
      </vt:variant>
      <vt:variant>
        <vt:i4>1376307</vt:i4>
      </vt:variant>
      <vt:variant>
        <vt:i4>68</vt:i4>
      </vt:variant>
      <vt:variant>
        <vt:i4>0</vt:i4>
      </vt:variant>
      <vt:variant>
        <vt:i4>5</vt:i4>
      </vt:variant>
      <vt:variant>
        <vt:lpwstr/>
      </vt:variant>
      <vt:variant>
        <vt:lpwstr>_Toc88834871</vt:lpwstr>
      </vt:variant>
      <vt:variant>
        <vt:i4>1310771</vt:i4>
      </vt:variant>
      <vt:variant>
        <vt:i4>62</vt:i4>
      </vt:variant>
      <vt:variant>
        <vt:i4>0</vt:i4>
      </vt:variant>
      <vt:variant>
        <vt:i4>5</vt:i4>
      </vt:variant>
      <vt:variant>
        <vt:lpwstr/>
      </vt:variant>
      <vt:variant>
        <vt:lpwstr>_Toc88834870</vt:lpwstr>
      </vt:variant>
      <vt:variant>
        <vt:i4>1900594</vt:i4>
      </vt:variant>
      <vt:variant>
        <vt:i4>56</vt:i4>
      </vt:variant>
      <vt:variant>
        <vt:i4>0</vt:i4>
      </vt:variant>
      <vt:variant>
        <vt:i4>5</vt:i4>
      </vt:variant>
      <vt:variant>
        <vt:lpwstr/>
      </vt:variant>
      <vt:variant>
        <vt:lpwstr>_Toc88834869</vt:lpwstr>
      </vt:variant>
      <vt:variant>
        <vt:i4>1835058</vt:i4>
      </vt:variant>
      <vt:variant>
        <vt:i4>50</vt:i4>
      </vt:variant>
      <vt:variant>
        <vt:i4>0</vt:i4>
      </vt:variant>
      <vt:variant>
        <vt:i4>5</vt:i4>
      </vt:variant>
      <vt:variant>
        <vt:lpwstr/>
      </vt:variant>
      <vt:variant>
        <vt:lpwstr>_Toc88834868</vt:lpwstr>
      </vt:variant>
      <vt:variant>
        <vt:i4>1245234</vt:i4>
      </vt:variant>
      <vt:variant>
        <vt:i4>44</vt:i4>
      </vt:variant>
      <vt:variant>
        <vt:i4>0</vt:i4>
      </vt:variant>
      <vt:variant>
        <vt:i4>5</vt:i4>
      </vt:variant>
      <vt:variant>
        <vt:lpwstr/>
      </vt:variant>
      <vt:variant>
        <vt:lpwstr>_Toc88834867</vt:lpwstr>
      </vt:variant>
      <vt:variant>
        <vt:i4>1179698</vt:i4>
      </vt:variant>
      <vt:variant>
        <vt:i4>38</vt:i4>
      </vt:variant>
      <vt:variant>
        <vt:i4>0</vt:i4>
      </vt:variant>
      <vt:variant>
        <vt:i4>5</vt:i4>
      </vt:variant>
      <vt:variant>
        <vt:lpwstr/>
      </vt:variant>
      <vt:variant>
        <vt:lpwstr>_Toc88834866</vt:lpwstr>
      </vt:variant>
      <vt:variant>
        <vt:i4>1114162</vt:i4>
      </vt:variant>
      <vt:variant>
        <vt:i4>32</vt:i4>
      </vt:variant>
      <vt:variant>
        <vt:i4>0</vt:i4>
      </vt:variant>
      <vt:variant>
        <vt:i4>5</vt:i4>
      </vt:variant>
      <vt:variant>
        <vt:lpwstr/>
      </vt:variant>
      <vt:variant>
        <vt:lpwstr>_Toc88834865</vt:lpwstr>
      </vt:variant>
      <vt:variant>
        <vt:i4>1048626</vt:i4>
      </vt:variant>
      <vt:variant>
        <vt:i4>26</vt:i4>
      </vt:variant>
      <vt:variant>
        <vt:i4>0</vt:i4>
      </vt:variant>
      <vt:variant>
        <vt:i4>5</vt:i4>
      </vt:variant>
      <vt:variant>
        <vt:lpwstr/>
      </vt:variant>
      <vt:variant>
        <vt:lpwstr>_Toc88834864</vt:lpwstr>
      </vt:variant>
      <vt:variant>
        <vt:i4>1507378</vt:i4>
      </vt:variant>
      <vt:variant>
        <vt:i4>20</vt:i4>
      </vt:variant>
      <vt:variant>
        <vt:i4>0</vt:i4>
      </vt:variant>
      <vt:variant>
        <vt:i4>5</vt:i4>
      </vt:variant>
      <vt:variant>
        <vt:lpwstr/>
      </vt:variant>
      <vt:variant>
        <vt:lpwstr>_Toc88834863</vt:lpwstr>
      </vt:variant>
      <vt:variant>
        <vt:i4>1441842</vt:i4>
      </vt:variant>
      <vt:variant>
        <vt:i4>14</vt:i4>
      </vt:variant>
      <vt:variant>
        <vt:i4>0</vt:i4>
      </vt:variant>
      <vt:variant>
        <vt:i4>5</vt:i4>
      </vt:variant>
      <vt:variant>
        <vt:lpwstr/>
      </vt:variant>
      <vt:variant>
        <vt:lpwstr>_Toc88834862</vt:lpwstr>
      </vt:variant>
      <vt:variant>
        <vt:i4>1376306</vt:i4>
      </vt:variant>
      <vt:variant>
        <vt:i4>8</vt:i4>
      </vt:variant>
      <vt:variant>
        <vt:i4>0</vt:i4>
      </vt:variant>
      <vt:variant>
        <vt:i4>5</vt:i4>
      </vt:variant>
      <vt:variant>
        <vt:lpwstr/>
      </vt:variant>
      <vt:variant>
        <vt:lpwstr>_Toc88834861</vt:lpwstr>
      </vt:variant>
      <vt:variant>
        <vt:i4>1310770</vt:i4>
      </vt:variant>
      <vt:variant>
        <vt:i4>2</vt:i4>
      </vt:variant>
      <vt:variant>
        <vt:i4>0</vt:i4>
      </vt:variant>
      <vt:variant>
        <vt:i4>5</vt:i4>
      </vt:variant>
      <vt:variant>
        <vt:lpwstr/>
      </vt:variant>
      <vt:variant>
        <vt:lpwstr>_Toc88834860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Transportøkonomiske Kørselsomkostninger</dc:title>
  <dc:subject/>
  <dc:creator>Maria Agertved Madsen</dc:creator>
  <cp:keywords/>
  <dc:description/>
  <cp:lastModifiedBy>Ole Kveiborg</cp:lastModifiedBy>
  <cp:revision>2</cp:revision>
  <cp:lastPrinted>1999-01-05T14:15:00Z</cp:lastPrinted>
  <dcterms:created xsi:type="dcterms:W3CDTF">2021-11-26T15:16:00Z</dcterms:created>
  <dcterms:modified xsi:type="dcterms:W3CDTF">2021-11-26T15:16:00Z</dcterms:modified>
  <cp:category>Note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 </vt:lpwstr>
  </property>
  <property fmtid="{D5CDD505-2E9C-101B-9397-08002B2CF9AE}" pid="3" name="Client">
    <vt:lpwstr> </vt:lpwstr>
  </property>
  <property fmtid="{D5CDD505-2E9C-101B-9397-08002B2CF9AE}" pid="4" name="Language">
    <vt:lpwstr>Danish</vt:lpwstr>
  </property>
  <property fmtid="{D5CDD505-2E9C-101B-9397-08002B2CF9AE}" pid="5" name="Office">
    <vt:lpwstr>Lyngby</vt:lpwstr>
  </property>
  <property fmtid="{D5CDD505-2E9C-101B-9397-08002B2CF9AE}" pid="6" name="CowiSubject">
    <vt:lpwstr> </vt:lpwstr>
  </property>
  <property fmtid="{D5CDD505-2E9C-101B-9397-08002B2CF9AE}" pid="7" name="CowiTitle">
    <vt:lpwstr>Titel</vt:lpwstr>
  </property>
  <property fmtid="{D5CDD505-2E9C-101B-9397-08002B2CF9AE}" pid="8" name="CowiDate">
    <vt:lpwstr>Issue</vt:lpwstr>
  </property>
  <property fmtid="{D5CDD505-2E9C-101B-9397-08002B2CF9AE}" pid="9" name="CowiClient">
    <vt:lpwstr>Klient</vt:lpwstr>
  </property>
  <property fmtid="{D5CDD505-2E9C-101B-9397-08002B2CF9AE}" pid="10" name="CowiAuthor">
    <vt:lpwstr>Forfatter</vt:lpwstr>
  </property>
  <property fmtid="{D5CDD505-2E9C-101B-9397-08002B2CF9AE}" pid="11" name="Approved by">
    <vt:lpwstr> </vt:lpwstr>
  </property>
  <property fmtid="{D5CDD505-2E9C-101B-9397-08002B2CF9AE}" pid="12" name="CowiChecker">
    <vt:lpwstr>Tjekket</vt:lpwstr>
  </property>
  <property fmtid="{D5CDD505-2E9C-101B-9397-08002B2CF9AE}" pid="13" name="CowiApprover">
    <vt:lpwstr>Godkendt</vt:lpwstr>
  </property>
  <property fmtid="{D5CDD505-2E9C-101B-9397-08002B2CF9AE}" pid="14" name="CowiDocNo">
    <vt:lpwstr>DokNo</vt:lpwstr>
  </property>
  <property fmtid="{D5CDD505-2E9C-101B-9397-08002B2CF9AE}" pid="15" name="CowiRevNo">
    <vt:lpwstr/>
  </property>
  <property fmtid="{D5CDD505-2E9C-101B-9397-08002B2CF9AE}" pid="16" name="Checked by">
    <vt:lpwstr> </vt:lpwstr>
  </property>
  <property fmtid="{D5CDD505-2E9C-101B-9397-08002B2CF9AE}" pid="17" name="Document no">
    <vt:lpwstr> </vt:lpwstr>
  </property>
  <property fmtid="{D5CDD505-2E9C-101B-9397-08002B2CF9AE}" pid="18" name="ContentType">
    <vt:lpwstr>COWI Note</vt:lpwstr>
  </property>
  <property fmtid="{D5CDD505-2E9C-101B-9397-08002B2CF9AE}" pid="19" name="PortalLanguage">
    <vt:lpwstr> </vt:lpwstr>
  </property>
  <property fmtid="{D5CDD505-2E9C-101B-9397-08002B2CF9AE}" pid="20" name="PortalAuthor">
    <vt:lpwstr> </vt:lpwstr>
  </property>
  <property fmtid="{D5CDD505-2E9C-101B-9397-08002B2CF9AE}" pid="21" name="Version no">
    <vt:lpwstr> </vt:lpwstr>
  </property>
  <property fmtid="{D5CDD505-2E9C-101B-9397-08002B2CF9AE}" pid="22" name="CowiVerNo">
    <vt:lpwstr>Revision</vt:lpwstr>
  </property>
  <property fmtid="{D5CDD505-2E9C-101B-9397-08002B2CF9AE}" pid="23" name="Revision no">
    <vt:lpwstr> </vt:lpwstr>
  </property>
  <property fmtid="{D5CDD505-2E9C-101B-9397-08002B2CF9AE}" pid="24" name="ContentTypeId">
    <vt:lpwstr>0x0101002CCD25EDA4A5864AB7BC376837FDFB0E</vt:lpwstr>
  </property>
  <property fmtid="{D5CDD505-2E9C-101B-9397-08002B2CF9AE}" pid="25" name="MSIP_Label_120b757d-2548-4aee-bc90-d7a8c7f698de_Enabled">
    <vt:lpwstr>true</vt:lpwstr>
  </property>
  <property fmtid="{D5CDD505-2E9C-101B-9397-08002B2CF9AE}" pid="26" name="MSIP_Label_120b757d-2548-4aee-bc90-d7a8c7f698de_SetDate">
    <vt:lpwstr>2021-01-13T17:26:01Z</vt:lpwstr>
  </property>
  <property fmtid="{D5CDD505-2E9C-101B-9397-08002B2CF9AE}" pid="27" name="MSIP_Label_120b757d-2548-4aee-bc90-d7a8c7f698de_Method">
    <vt:lpwstr>Standard</vt:lpwstr>
  </property>
  <property fmtid="{D5CDD505-2E9C-101B-9397-08002B2CF9AE}" pid="28" name="MSIP_Label_120b757d-2548-4aee-bc90-d7a8c7f698de_Name">
    <vt:lpwstr>General</vt:lpwstr>
  </property>
  <property fmtid="{D5CDD505-2E9C-101B-9397-08002B2CF9AE}" pid="29" name="MSIP_Label_120b757d-2548-4aee-bc90-d7a8c7f698de_SiteId">
    <vt:lpwstr>11be1538-79d8-4939-82b8-b767805d825b</vt:lpwstr>
  </property>
  <property fmtid="{D5CDD505-2E9C-101B-9397-08002B2CF9AE}" pid="30" name="MSIP_Label_120b757d-2548-4aee-bc90-d7a8c7f698de_ActionId">
    <vt:lpwstr>98556d9b-82b7-46d1-a0a3-7c451ec34ebc</vt:lpwstr>
  </property>
  <property fmtid="{D5CDD505-2E9C-101B-9397-08002B2CF9AE}" pid="31" name="MSIP_Label_120b757d-2548-4aee-bc90-d7a8c7f698de_ContentBits">
    <vt:lpwstr>0</vt:lpwstr>
  </property>
</Properties>
</file>